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FA8F4" w14:textId="77777777" w:rsidR="007F13D8" w:rsidRDefault="0094475B" w:rsidP="007F13D8">
      <w:pPr>
        <w:pStyle w:val="Default"/>
      </w:pPr>
      <w:r w:rsidRPr="0094475B">
        <w:rPr>
          <w:noProof/>
        </w:rPr>
        <w:drawing>
          <wp:inline distT="0" distB="0" distL="0" distR="0" wp14:anchorId="7E0E697C" wp14:editId="09F1AE0A">
            <wp:extent cx="2114550" cy="175516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28239" cy="1766522"/>
                    </a:xfrm>
                    <a:prstGeom prst="rect">
                      <a:avLst/>
                    </a:prstGeom>
                  </pic:spPr>
                </pic:pic>
              </a:graphicData>
            </a:graphic>
          </wp:inline>
        </w:drawing>
      </w:r>
    </w:p>
    <w:p w14:paraId="21B169CA" w14:textId="687CB5F7" w:rsidR="00F37037" w:rsidRPr="00F37037" w:rsidRDefault="00F37037" w:rsidP="00F37037">
      <w:pPr>
        <w:pStyle w:val="Default"/>
        <w:spacing w:before="120" w:after="240"/>
        <w:jc w:val="right"/>
      </w:pPr>
      <w:r w:rsidRPr="00F37037">
        <w:t>Αθήνα,</w:t>
      </w:r>
      <w:r w:rsidR="006A25F0">
        <w:t xml:space="preserve"> </w:t>
      </w:r>
      <w:r w:rsidR="00E477D3">
        <w:rPr>
          <w:lang w:val="en-US"/>
        </w:rPr>
        <w:t>2</w:t>
      </w:r>
      <w:r w:rsidRPr="00F37037">
        <w:t xml:space="preserve"> </w:t>
      </w:r>
      <w:r w:rsidR="005533F9">
        <w:t>Απριλίου</w:t>
      </w:r>
      <w:r w:rsidRPr="00F37037">
        <w:t xml:space="preserve"> 2026</w:t>
      </w:r>
    </w:p>
    <w:p w14:paraId="2E34395C" w14:textId="77777777" w:rsidR="007F13D8" w:rsidRPr="002E2835" w:rsidRDefault="007F13D8" w:rsidP="00EE39D4">
      <w:pPr>
        <w:pStyle w:val="Default"/>
        <w:jc w:val="center"/>
        <w:rPr>
          <w:b/>
          <w:sz w:val="28"/>
          <w:szCs w:val="28"/>
        </w:rPr>
      </w:pPr>
      <w:r w:rsidRPr="002E2835">
        <w:rPr>
          <w:b/>
          <w:sz w:val="28"/>
          <w:szCs w:val="28"/>
        </w:rPr>
        <w:t>ΔΕΛΤΙΟ ΤΥΠΟΥ</w:t>
      </w:r>
    </w:p>
    <w:p w14:paraId="24894322" w14:textId="16854DD7" w:rsidR="00C3331A" w:rsidRPr="0007282D" w:rsidRDefault="007F13D8" w:rsidP="0007282D">
      <w:pPr>
        <w:spacing w:before="120" w:after="120" w:line="276" w:lineRule="auto"/>
        <w:jc w:val="center"/>
        <w:rPr>
          <w:rFonts w:ascii="Franklin Gothic Medium" w:hAnsi="Franklin Gothic Medium" w:cstheme="minorBidi"/>
          <w:b/>
          <w:bCs/>
          <w:sz w:val="28"/>
          <w:szCs w:val="28"/>
        </w:rPr>
      </w:pPr>
      <w:r w:rsidRPr="0007282D">
        <w:rPr>
          <w:rFonts w:ascii="Franklin Gothic Medium" w:hAnsi="Franklin Gothic Medium" w:cstheme="minorBidi"/>
          <w:b/>
          <w:bCs/>
          <w:sz w:val="28"/>
          <w:szCs w:val="28"/>
        </w:rPr>
        <w:t xml:space="preserve">ΑΑΔΕ: </w:t>
      </w:r>
      <w:r w:rsidR="00E477D3" w:rsidRPr="00E477D3">
        <w:rPr>
          <w:rFonts w:ascii="Franklin Gothic Medium" w:hAnsi="Franklin Gothic Medium" w:cstheme="minorBidi"/>
          <w:b/>
          <w:bCs/>
          <w:sz w:val="28"/>
          <w:szCs w:val="28"/>
        </w:rPr>
        <w:t>Το ΤΕΚ Αττικής ενισχύει την αποτελεσματικότητα των τελωνειακών ελέγχων – Αύξηση 400 εκατ. ευρώ στα έσοδα σε 1 χρόνο</w:t>
      </w:r>
    </w:p>
    <w:p w14:paraId="4747579C" w14:textId="5D1EB5B7" w:rsidR="00E477D3" w:rsidRDefault="00E477D3" w:rsidP="00E477D3">
      <w:pPr>
        <w:pStyle w:val="Default"/>
        <w:spacing w:before="240" w:after="240" w:line="276" w:lineRule="auto"/>
        <w:jc w:val="both"/>
      </w:pPr>
      <w:r>
        <w:t xml:space="preserve">Σημαντική ενίσχυση της αποτελεσματικότητας των τελωνειακών ελέγχων και αύξηση των δημοσίων εσόδων καταγράφεται μέσα στον πρώτο χρόνο λειτουργίας του Τελωνειακού Ελεγκτικού Κέντρου (ΤΕΚ) Αττικής. Το 2025 τα τελωνειακά έσοδα αυξήθηκαν κατά 400 εκατ. ευρώ σε σχέση με το 2024, παρότι η αξία των εισαγόμενων εμπορευμάτων μειώθηκε κατά 5 δισ. ευρώ και ο όγκος τους κατά 6,8 εκατ. τόνους. Η επίδοση αυτή αποτυπώνει την ενίσχυση της τελωνειακής συμμόρφωσης και την αποτελεσματικότερη αντιμετώπιση φαινομένων τελωνειακής παραβατικότητας και λαθρεμπορίας, όπως η </w:t>
      </w:r>
      <w:proofErr w:type="spellStart"/>
      <w:r>
        <w:t>υποτιμολόγηση</w:t>
      </w:r>
      <w:proofErr w:type="spellEnd"/>
      <w:r>
        <w:t>.</w:t>
      </w:r>
    </w:p>
    <w:p w14:paraId="61CDC3A6" w14:textId="4845D62A" w:rsidR="00E477D3" w:rsidRDefault="00E477D3" w:rsidP="00E477D3">
      <w:pPr>
        <w:pStyle w:val="Default"/>
        <w:spacing w:before="240" w:after="240" w:line="276" w:lineRule="auto"/>
        <w:jc w:val="both"/>
      </w:pPr>
      <w:r>
        <w:t xml:space="preserve">Από τις 24 Φεβρουαρίου 2025, στο ΤΕΚ Αττικής ενσωματώθηκαν 53 τελωνεία της επικράτειας, συμπεριλαμβανομένων των κρίσιμων μονάδων για την εποπτεία  των εμπορευματικών πυλών και αποθηκών της χώρας στη Στερεά και Νότια Ελλάδα (Πειραιάς, Ελευσίνα, ευρύτερη Δυτική Αττική, Διεθνής Αερολιμένας Αθηνών, Πάτρα, Ηράκλειο). </w:t>
      </w:r>
    </w:p>
    <w:p w14:paraId="46577708" w14:textId="1E14F2B8" w:rsidR="00E477D3" w:rsidRDefault="00E477D3" w:rsidP="00E477D3">
      <w:pPr>
        <w:pStyle w:val="Default"/>
        <w:spacing w:before="240" w:after="240" w:line="276" w:lineRule="auto"/>
        <w:jc w:val="both"/>
      </w:pPr>
      <w:r>
        <w:t>Το ΤΕΚ Αττικής διαχειρίζεται πλέον τον κύριο όγκο των τελωνειακών διαδικασιών εισαγωγής και εμπορευμάτων υποκείμενων σε ειδικό φόρο κατανάλωσης (ενεργειακά, καπνικά, αλκοολούχα),</w:t>
      </w:r>
      <w:r w:rsidRPr="00E477D3">
        <w:t xml:space="preserve"> </w:t>
      </w:r>
      <w:r>
        <w:t>συγκεντρώνοντας στο σύνολο της επικράτειας,  το 75% των εισαγωγών και των δηλώσεων ΕΦΚ.</w:t>
      </w:r>
    </w:p>
    <w:p w14:paraId="247E36BD" w14:textId="77777777" w:rsidR="00E477D3" w:rsidRDefault="00E477D3" w:rsidP="00E477D3">
      <w:pPr>
        <w:pStyle w:val="Default"/>
        <w:spacing w:before="240" w:after="240" w:line="276" w:lineRule="auto"/>
        <w:jc w:val="both"/>
      </w:pPr>
      <w:r>
        <w:t>Τα τελωνεία που εντάθηκαν στο ΤΕΚ Αττικής, συγκεντρώνουν το 78,5% των συνολικών τελωνειακών εσόδων, τα οποία διαμορφώθηκαν σε 12,9 δισ. ευρώ το 2025.  Στις επιμέρους βασικές κατηγορίες τελωνειακών εσόδων, η συμμετοχή τους είχε ως ακολούθως για το 2025:</w:t>
      </w:r>
    </w:p>
    <w:p w14:paraId="1906B96B" w14:textId="0C138DA6" w:rsidR="00E477D3" w:rsidRDefault="00E477D3" w:rsidP="00E477D3">
      <w:pPr>
        <w:pStyle w:val="Default"/>
        <w:numPr>
          <w:ilvl w:val="0"/>
          <w:numId w:val="10"/>
        </w:numPr>
        <w:spacing w:before="240" w:after="240"/>
        <w:jc w:val="both"/>
      </w:pPr>
      <w:r>
        <w:t>ΦΠΑ εισαγωγής: 77,9%</w:t>
      </w:r>
    </w:p>
    <w:p w14:paraId="3203FFA9" w14:textId="0E45F8AB" w:rsidR="00E477D3" w:rsidRDefault="00E477D3" w:rsidP="00E477D3">
      <w:pPr>
        <w:pStyle w:val="Default"/>
        <w:numPr>
          <w:ilvl w:val="0"/>
          <w:numId w:val="10"/>
        </w:numPr>
        <w:spacing w:before="240" w:after="240"/>
        <w:jc w:val="both"/>
      </w:pPr>
      <w:r>
        <w:t>ΕΦΚ ενεργειακών, καπνικών και αλκοολούχων προϊόντων: 78,8%</w:t>
      </w:r>
    </w:p>
    <w:p w14:paraId="5E73BC4D" w14:textId="237E0F1B" w:rsidR="00E477D3" w:rsidRDefault="00E477D3" w:rsidP="00E477D3">
      <w:pPr>
        <w:pStyle w:val="Default"/>
        <w:numPr>
          <w:ilvl w:val="0"/>
          <w:numId w:val="10"/>
        </w:numPr>
        <w:spacing w:before="240" w:after="240"/>
        <w:jc w:val="both"/>
      </w:pPr>
      <w:r>
        <w:t>Τέλος ταξινόμησης οχημάτων: 90,6%</w:t>
      </w:r>
    </w:p>
    <w:p w14:paraId="190BC1DF" w14:textId="700F1CBD" w:rsidR="00E477D3" w:rsidRDefault="00E477D3" w:rsidP="00E477D3">
      <w:pPr>
        <w:pStyle w:val="Default"/>
        <w:numPr>
          <w:ilvl w:val="0"/>
          <w:numId w:val="10"/>
        </w:numPr>
        <w:spacing w:before="240" w:after="240"/>
        <w:jc w:val="both"/>
      </w:pPr>
      <w:r>
        <w:lastRenderedPageBreak/>
        <w:t>Φόρος κατανάλωσης καφέ και ηλεκτρονικών τσιγάρων: 92,1%</w:t>
      </w:r>
    </w:p>
    <w:p w14:paraId="660C072D" w14:textId="61BD97FF" w:rsidR="00E477D3" w:rsidRDefault="00E477D3" w:rsidP="00E477D3">
      <w:pPr>
        <w:pStyle w:val="Default"/>
        <w:numPr>
          <w:ilvl w:val="0"/>
          <w:numId w:val="10"/>
        </w:numPr>
        <w:spacing w:before="240" w:after="240"/>
        <w:jc w:val="both"/>
      </w:pPr>
      <w:r>
        <w:t>Δασμοί: 78,8%</w:t>
      </w:r>
    </w:p>
    <w:p w14:paraId="767C48CC" w14:textId="77777777" w:rsidR="00E477D3" w:rsidRDefault="00E477D3" w:rsidP="00E477D3">
      <w:pPr>
        <w:pStyle w:val="Default"/>
        <w:spacing w:before="240" w:after="240" w:line="276" w:lineRule="auto"/>
        <w:jc w:val="both"/>
      </w:pPr>
      <w:r>
        <w:t xml:space="preserve">Η </w:t>
      </w:r>
      <w:proofErr w:type="spellStart"/>
      <w:r>
        <w:t>κεντρικοποίηση</w:t>
      </w:r>
      <w:proofErr w:type="spellEnd"/>
      <w:r>
        <w:t xml:space="preserve"> των ελέγχων μέσω του ΤΕΚ Αττικής συμβάλλει στην τυποποίηση και </w:t>
      </w:r>
      <w:proofErr w:type="spellStart"/>
      <w:r>
        <w:t>ομοιογενοποίηση</w:t>
      </w:r>
      <w:proofErr w:type="spellEnd"/>
      <w:r>
        <w:t xml:space="preserve"> των ελεγκτικών πρακτικών, στην επιτάχυνση της </w:t>
      </w:r>
      <w:proofErr w:type="spellStart"/>
      <w:r>
        <w:t>ψηφιοποίησης</w:t>
      </w:r>
      <w:proofErr w:type="spellEnd"/>
      <w:r>
        <w:t xml:space="preserve"> των διαδικασιών και στη βελτίωση της εξυπηρέτησης του νόμιμου εμπορίου. Χαρακτηριστικά:</w:t>
      </w:r>
    </w:p>
    <w:p w14:paraId="1901B931" w14:textId="4E359EB5" w:rsidR="00E477D3" w:rsidRDefault="00E477D3" w:rsidP="00E477D3">
      <w:pPr>
        <w:pStyle w:val="Default"/>
        <w:numPr>
          <w:ilvl w:val="0"/>
          <w:numId w:val="11"/>
        </w:numPr>
        <w:spacing w:before="240" w:after="240"/>
        <w:jc w:val="both"/>
      </w:pPr>
      <w:r>
        <w:t>Οι έλεγχοι των δηλώσεων ΕΦΚ ολοκληρώνονται αυθημερόν.</w:t>
      </w:r>
      <w:bookmarkStart w:id="0" w:name="_GoBack"/>
      <w:bookmarkEnd w:id="0"/>
    </w:p>
    <w:p w14:paraId="722A42AC" w14:textId="66B9A9CF" w:rsidR="00E477D3" w:rsidRDefault="00E477D3" w:rsidP="00E477D3">
      <w:pPr>
        <w:pStyle w:val="Default"/>
        <w:numPr>
          <w:ilvl w:val="0"/>
          <w:numId w:val="11"/>
        </w:numPr>
        <w:spacing w:before="240" w:after="240"/>
        <w:jc w:val="both"/>
      </w:pPr>
      <w:r>
        <w:t>Οι εκκρεμότητες στις εισαγωγές κυμαίνονται κάτω από το 0,5%.</w:t>
      </w:r>
    </w:p>
    <w:p w14:paraId="4B3BAC45" w14:textId="0C58D61C" w:rsidR="00E477D3" w:rsidRDefault="00E477D3" w:rsidP="00E477D3">
      <w:pPr>
        <w:pStyle w:val="Default"/>
        <w:numPr>
          <w:ilvl w:val="0"/>
          <w:numId w:val="11"/>
        </w:numPr>
        <w:spacing w:before="240" w:after="240"/>
        <w:jc w:val="both"/>
      </w:pPr>
      <w:r>
        <w:t>Οι ημερήσιες αναμονές για φυσικό έλεγχο έχουν μειωθεί στο ελάχιστο (σε σχέση με τον όγκο παραστατικών), διευκολύνοντας τη ροή της εφοδιαστικής αλυσίδας στα μεγαλύτερα τελωνεία της Αττικής (Πειραιάς, Δυτική Αττική, Αεροδρόμιο).</w:t>
      </w:r>
    </w:p>
    <w:p w14:paraId="418DF575" w14:textId="4B4CBB37" w:rsidR="00AC474F" w:rsidRPr="000A075F" w:rsidRDefault="00E477D3" w:rsidP="00E477D3">
      <w:pPr>
        <w:pStyle w:val="Default"/>
        <w:spacing w:before="240" w:after="240" w:line="276" w:lineRule="auto"/>
        <w:jc w:val="both"/>
      </w:pPr>
      <w:r>
        <w:t>Η ΑΑΔΕ συνεχίζει να επενδύει στον εκσυγχρονισμό των τελωνείων, ενισχύοντας τον ρόλο της Ελλάδας ως αξιόπιστου και ανταγωνιστικού εμπορικού κόμβου στην ευρύτερη περιοχή.</w:t>
      </w:r>
    </w:p>
    <w:sectPr w:rsidR="00AC474F" w:rsidRPr="000A075F" w:rsidSect="0041703C">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16CE"/>
    <w:multiLevelType w:val="hybridMultilevel"/>
    <w:tmpl w:val="2FC8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1485574"/>
    <w:multiLevelType w:val="hybridMultilevel"/>
    <w:tmpl w:val="26FAA0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9F0E75"/>
    <w:multiLevelType w:val="hybridMultilevel"/>
    <w:tmpl w:val="B3124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660933"/>
    <w:multiLevelType w:val="hybridMultilevel"/>
    <w:tmpl w:val="BEE00E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67E22B7"/>
    <w:multiLevelType w:val="multilevel"/>
    <w:tmpl w:val="19B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8E243"/>
    <w:multiLevelType w:val="hybridMultilevel"/>
    <w:tmpl w:val="BFBC12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FF741C6"/>
    <w:multiLevelType w:val="hybridMultilevel"/>
    <w:tmpl w:val="17461C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04C1B1C"/>
    <w:multiLevelType w:val="hybridMultilevel"/>
    <w:tmpl w:val="7A9413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52C27C5"/>
    <w:multiLevelType w:val="hybridMultilevel"/>
    <w:tmpl w:val="C4047E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A154A4E"/>
    <w:multiLevelType w:val="hybridMultilevel"/>
    <w:tmpl w:val="B8E0FB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C6B654A"/>
    <w:multiLevelType w:val="hybridMultilevel"/>
    <w:tmpl w:val="0B1EBE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4"/>
  </w:num>
  <w:num w:numId="5">
    <w:abstractNumId w:val="1"/>
  </w:num>
  <w:num w:numId="6">
    <w:abstractNumId w:val="3"/>
  </w:num>
  <w:num w:numId="7">
    <w:abstractNumId w:val="7"/>
  </w:num>
  <w:num w:numId="8">
    <w:abstractNumId w:val="6"/>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D8"/>
    <w:rsid w:val="00011DCC"/>
    <w:rsid w:val="00031395"/>
    <w:rsid w:val="000654D1"/>
    <w:rsid w:val="0007282D"/>
    <w:rsid w:val="000A075F"/>
    <w:rsid w:val="000A3E08"/>
    <w:rsid w:val="001018FA"/>
    <w:rsid w:val="00116110"/>
    <w:rsid w:val="001914B7"/>
    <w:rsid w:val="001A1AD6"/>
    <w:rsid w:val="00220EAB"/>
    <w:rsid w:val="002512DA"/>
    <w:rsid w:val="002E2835"/>
    <w:rsid w:val="00316938"/>
    <w:rsid w:val="0032163B"/>
    <w:rsid w:val="00335304"/>
    <w:rsid w:val="00344FE6"/>
    <w:rsid w:val="003F7994"/>
    <w:rsid w:val="0041703C"/>
    <w:rsid w:val="00431300"/>
    <w:rsid w:val="004547B5"/>
    <w:rsid w:val="004668D6"/>
    <w:rsid w:val="00472210"/>
    <w:rsid w:val="00480A6F"/>
    <w:rsid w:val="00486B2F"/>
    <w:rsid w:val="004B495E"/>
    <w:rsid w:val="004B698D"/>
    <w:rsid w:val="004F3DA9"/>
    <w:rsid w:val="00503FDE"/>
    <w:rsid w:val="005042FC"/>
    <w:rsid w:val="005067C5"/>
    <w:rsid w:val="00513235"/>
    <w:rsid w:val="00541333"/>
    <w:rsid w:val="005533F9"/>
    <w:rsid w:val="005842C3"/>
    <w:rsid w:val="00591476"/>
    <w:rsid w:val="005C2598"/>
    <w:rsid w:val="005D7F14"/>
    <w:rsid w:val="00621D42"/>
    <w:rsid w:val="00622718"/>
    <w:rsid w:val="006311D2"/>
    <w:rsid w:val="0065503F"/>
    <w:rsid w:val="006A25F0"/>
    <w:rsid w:val="00714FB2"/>
    <w:rsid w:val="00732D68"/>
    <w:rsid w:val="00784D0E"/>
    <w:rsid w:val="007C3554"/>
    <w:rsid w:val="007F13D8"/>
    <w:rsid w:val="007F67FA"/>
    <w:rsid w:val="008062C1"/>
    <w:rsid w:val="0083037B"/>
    <w:rsid w:val="00833EB1"/>
    <w:rsid w:val="00840C43"/>
    <w:rsid w:val="00853819"/>
    <w:rsid w:val="00854F1C"/>
    <w:rsid w:val="00861F6C"/>
    <w:rsid w:val="0087062D"/>
    <w:rsid w:val="00876937"/>
    <w:rsid w:val="008C16B1"/>
    <w:rsid w:val="009030F4"/>
    <w:rsid w:val="00912485"/>
    <w:rsid w:val="00916616"/>
    <w:rsid w:val="0094475B"/>
    <w:rsid w:val="009D75DF"/>
    <w:rsid w:val="00A55888"/>
    <w:rsid w:val="00AC474F"/>
    <w:rsid w:val="00B53D49"/>
    <w:rsid w:val="00B620E4"/>
    <w:rsid w:val="00BA6E64"/>
    <w:rsid w:val="00BB4558"/>
    <w:rsid w:val="00C3331A"/>
    <w:rsid w:val="00CD2547"/>
    <w:rsid w:val="00CF3371"/>
    <w:rsid w:val="00D54FC3"/>
    <w:rsid w:val="00D95219"/>
    <w:rsid w:val="00DE5ACA"/>
    <w:rsid w:val="00DF241B"/>
    <w:rsid w:val="00DF4D61"/>
    <w:rsid w:val="00E477D3"/>
    <w:rsid w:val="00E56F16"/>
    <w:rsid w:val="00EE39D4"/>
    <w:rsid w:val="00F01791"/>
    <w:rsid w:val="00F21F84"/>
    <w:rsid w:val="00F37037"/>
    <w:rsid w:val="00F464B6"/>
    <w:rsid w:val="00F74A55"/>
    <w:rsid w:val="00F80A8B"/>
    <w:rsid w:val="00F9192E"/>
    <w:rsid w:val="00FA2AFE"/>
    <w:rsid w:val="00FB75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90EB7"/>
  <w15:chartTrackingRefBased/>
  <w15:docId w15:val="{4208C8F4-B1ED-4748-BA6B-03D33552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282D"/>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13D8"/>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styleId="-">
    <w:name w:val="Hyperlink"/>
    <w:basedOn w:val="a0"/>
    <w:uiPriority w:val="99"/>
    <w:unhideWhenUsed/>
    <w:rsid w:val="0007282D"/>
    <w:rPr>
      <w:color w:val="0000FF"/>
      <w:u w:val="single"/>
    </w:rPr>
  </w:style>
  <w:style w:type="character" w:styleId="a3">
    <w:name w:val="annotation reference"/>
    <w:basedOn w:val="a0"/>
    <w:uiPriority w:val="99"/>
    <w:semiHidden/>
    <w:unhideWhenUsed/>
    <w:rsid w:val="0007282D"/>
    <w:rPr>
      <w:sz w:val="16"/>
      <w:szCs w:val="16"/>
    </w:rPr>
  </w:style>
  <w:style w:type="paragraph" w:styleId="a4">
    <w:name w:val="annotation text"/>
    <w:basedOn w:val="a"/>
    <w:link w:val="Char"/>
    <w:uiPriority w:val="99"/>
    <w:semiHidden/>
    <w:unhideWhenUsed/>
    <w:rsid w:val="0007282D"/>
    <w:rPr>
      <w:sz w:val="20"/>
      <w:szCs w:val="20"/>
    </w:rPr>
  </w:style>
  <w:style w:type="character" w:customStyle="1" w:styleId="Char">
    <w:name w:val="Κείμενο σχολίου Char"/>
    <w:basedOn w:val="a0"/>
    <w:link w:val="a4"/>
    <w:uiPriority w:val="99"/>
    <w:semiHidden/>
    <w:rsid w:val="0007282D"/>
    <w:rPr>
      <w:rFonts w:ascii="Calibri" w:hAnsi="Calibri" w:cs="Calibri"/>
      <w:sz w:val="20"/>
      <w:szCs w:val="20"/>
    </w:rPr>
  </w:style>
  <w:style w:type="paragraph" w:styleId="a5">
    <w:name w:val="annotation subject"/>
    <w:basedOn w:val="a4"/>
    <w:next w:val="a4"/>
    <w:link w:val="Char0"/>
    <w:uiPriority w:val="99"/>
    <w:semiHidden/>
    <w:unhideWhenUsed/>
    <w:rsid w:val="0007282D"/>
    <w:rPr>
      <w:b/>
      <w:bCs/>
    </w:rPr>
  </w:style>
  <w:style w:type="character" w:customStyle="1" w:styleId="Char0">
    <w:name w:val="Θέμα σχολίου Char"/>
    <w:basedOn w:val="Char"/>
    <w:link w:val="a5"/>
    <w:uiPriority w:val="99"/>
    <w:semiHidden/>
    <w:rsid w:val="0007282D"/>
    <w:rPr>
      <w:rFonts w:ascii="Calibri" w:hAnsi="Calibri" w:cs="Calibri"/>
      <w:b/>
      <w:bCs/>
      <w:sz w:val="20"/>
      <w:szCs w:val="20"/>
    </w:rPr>
  </w:style>
  <w:style w:type="paragraph" w:styleId="a6">
    <w:name w:val="Balloon Text"/>
    <w:basedOn w:val="a"/>
    <w:link w:val="Char1"/>
    <w:uiPriority w:val="99"/>
    <w:semiHidden/>
    <w:unhideWhenUsed/>
    <w:rsid w:val="0007282D"/>
    <w:rPr>
      <w:rFonts w:ascii="Segoe UI" w:hAnsi="Segoe UI" w:cs="Segoe UI"/>
      <w:sz w:val="18"/>
      <w:szCs w:val="18"/>
    </w:rPr>
  </w:style>
  <w:style w:type="character" w:customStyle="1" w:styleId="Char1">
    <w:name w:val="Κείμενο πλαισίου Char"/>
    <w:basedOn w:val="a0"/>
    <w:link w:val="a6"/>
    <w:uiPriority w:val="99"/>
    <w:semiHidden/>
    <w:rsid w:val="0007282D"/>
    <w:rPr>
      <w:rFonts w:ascii="Segoe UI" w:hAnsi="Segoe UI" w:cs="Segoe UI"/>
      <w:sz w:val="18"/>
      <w:szCs w:val="18"/>
    </w:rPr>
  </w:style>
  <w:style w:type="paragraph" w:styleId="a7">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2"/>
    <w:uiPriority w:val="34"/>
    <w:qFormat/>
    <w:rsid w:val="00840C43"/>
    <w:pPr>
      <w:ind w:left="720"/>
      <w:contextualSpacing/>
    </w:pPr>
  </w:style>
  <w:style w:type="character" w:customStyle="1" w:styleId="Char2">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7"/>
    <w:uiPriority w:val="34"/>
    <w:qFormat/>
    <w:rsid w:val="00840C43"/>
    <w:rPr>
      <w:rFonts w:ascii="Calibri" w:hAnsi="Calibri" w:cs="Calibri"/>
    </w:rPr>
  </w:style>
  <w:style w:type="character" w:styleId="a8">
    <w:name w:val="Unresolved Mention"/>
    <w:basedOn w:val="a0"/>
    <w:uiPriority w:val="99"/>
    <w:semiHidden/>
    <w:unhideWhenUsed/>
    <w:rsid w:val="00553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45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2112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ΔΤΔ</dc:creator>
  <cp:keywords/>
  <dc:description/>
  <cp:lastModifiedBy>ΔΕΠΙΚ</cp:lastModifiedBy>
  <cp:revision>2</cp:revision>
  <cp:lastPrinted>2026-04-01T14:14:00Z</cp:lastPrinted>
  <dcterms:created xsi:type="dcterms:W3CDTF">2026-04-02T14:23:00Z</dcterms:created>
  <dcterms:modified xsi:type="dcterms:W3CDTF">2026-04-02T14:23:00Z</dcterms:modified>
</cp:coreProperties>
</file>