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30978A72"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094E92">
        <w:rPr>
          <w:rFonts w:ascii="Franklin Gothic Medium" w:hAnsi="Franklin Gothic Medium"/>
          <w:sz w:val="24"/>
          <w:szCs w:val="24"/>
        </w:rPr>
        <w:t>Αθήνα</w:t>
      </w:r>
      <w:r w:rsidRPr="009320A8">
        <w:rPr>
          <w:rFonts w:ascii="Franklin Gothic Medium" w:hAnsi="Franklin Gothic Medium"/>
          <w:sz w:val="24"/>
          <w:szCs w:val="24"/>
        </w:rPr>
        <w:t xml:space="preserve">, </w:t>
      </w:r>
      <w:r w:rsidR="001522B5" w:rsidRPr="001522B5">
        <w:rPr>
          <w:rFonts w:ascii="Franklin Gothic Medium" w:hAnsi="Franklin Gothic Medium"/>
          <w:sz w:val="24"/>
          <w:szCs w:val="24"/>
          <w:lang w:val="en-US"/>
        </w:rPr>
        <w:t xml:space="preserve">23 </w:t>
      </w:r>
      <w:r w:rsidR="001522B5" w:rsidRPr="001522B5">
        <w:rPr>
          <w:rFonts w:ascii="Franklin Gothic Medium" w:hAnsi="Franklin Gothic Medium"/>
          <w:sz w:val="24"/>
          <w:szCs w:val="24"/>
        </w:rPr>
        <w:t>Ιανουαρίου</w:t>
      </w:r>
      <w:r w:rsidR="00BC22FD" w:rsidRPr="009320A8">
        <w:rPr>
          <w:rFonts w:ascii="Franklin Gothic Medium" w:hAnsi="Franklin Gothic Medium"/>
          <w:sz w:val="24"/>
          <w:szCs w:val="24"/>
        </w:rPr>
        <w:t xml:space="preserve"> </w:t>
      </w:r>
      <w:r w:rsidRPr="009320A8">
        <w:rPr>
          <w:rFonts w:ascii="Franklin Gothic Medium" w:hAnsi="Franklin Gothic Medium"/>
          <w:sz w:val="24"/>
          <w:szCs w:val="24"/>
        </w:rPr>
        <w:t>202</w:t>
      </w:r>
      <w:r w:rsidR="00927148">
        <w:rPr>
          <w:rFonts w:ascii="Franklin Gothic Medium" w:hAnsi="Franklin Gothic Medium"/>
          <w:sz w:val="24"/>
          <w:szCs w:val="24"/>
        </w:rPr>
        <w:t>6</w:t>
      </w:r>
    </w:p>
    <w:p w14:paraId="2BB92394" w14:textId="77777777" w:rsidR="00AF44BF" w:rsidRPr="009320A8" w:rsidRDefault="00AF44BF" w:rsidP="00AF44BF">
      <w:pPr>
        <w:spacing w:line="276" w:lineRule="auto"/>
        <w:jc w:val="both"/>
        <w:rPr>
          <w:rFonts w:ascii="Franklin Gothic Medium" w:hAnsi="Franklin Gothic Medium"/>
          <w:b/>
          <w:sz w:val="28"/>
          <w:szCs w:val="28"/>
        </w:rPr>
      </w:pPr>
    </w:p>
    <w:p w14:paraId="7896A7AC" w14:textId="77777777"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2802B19C" w14:textId="77777777" w:rsidR="001522B5" w:rsidRPr="001522B5" w:rsidRDefault="001522B5" w:rsidP="001522B5">
      <w:pPr>
        <w:spacing w:before="120" w:after="120" w:line="276" w:lineRule="auto"/>
        <w:jc w:val="center"/>
        <w:rPr>
          <w:rFonts w:ascii="Franklin Gothic Medium" w:hAnsi="Franklin Gothic Medium"/>
          <w:b/>
          <w:bCs/>
          <w:sz w:val="28"/>
          <w:szCs w:val="28"/>
        </w:rPr>
      </w:pPr>
      <w:r w:rsidRPr="001522B5">
        <w:rPr>
          <w:rFonts w:ascii="Franklin Gothic Medium" w:hAnsi="Franklin Gothic Medium"/>
          <w:b/>
          <w:bCs/>
          <w:sz w:val="28"/>
          <w:szCs w:val="28"/>
        </w:rPr>
        <w:t>ΑΑΔΕ: Πληρώθηκαν αγροτικές ενισχύσεις 28 εκ. ευρώ σε 24.000 δικαιούχους - Ανακτήσεις μέσω συμψηφισμών και δεσμεύσεις 14 εκ. για περαιτέρω έλεγχο</w:t>
      </w:r>
    </w:p>
    <w:p w14:paraId="0A648258" w14:textId="77777777" w:rsidR="001522B5" w:rsidRPr="001522B5" w:rsidRDefault="001522B5" w:rsidP="001522B5">
      <w:pPr>
        <w:spacing w:before="120" w:after="120" w:line="276" w:lineRule="auto"/>
        <w:rPr>
          <w:rFonts w:ascii="Franklin Gothic Medium" w:hAnsi="Franklin Gothic Medium"/>
          <w:sz w:val="24"/>
          <w:szCs w:val="24"/>
          <w:lang w:eastAsia="el-GR"/>
        </w:rPr>
      </w:pPr>
    </w:p>
    <w:p w14:paraId="4CE9272F"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Ολοκληρώθηκε η καταβολή ποσών στους δικαιούχους στο πλαίσιο αγροτικών ενισχύσεων, η οποία πραγματοποιήθηκε από τη </w:t>
      </w:r>
      <w:r w:rsidRPr="001522B5">
        <w:rPr>
          <w:rFonts w:ascii="Franklin Gothic Medium" w:hAnsi="Franklin Gothic Medium"/>
          <w:b/>
          <w:bCs/>
          <w:sz w:val="24"/>
          <w:szCs w:val="24"/>
          <w:lang w:eastAsia="el-GR"/>
        </w:rPr>
        <w:t>Γενική Διεύθυνση Ελέγχων, Λειτουργίας και Είσπραξης Πληρωμών (ΓΔΕΛΕΠ)</w:t>
      </w:r>
      <w:r w:rsidRPr="001522B5">
        <w:rPr>
          <w:rFonts w:ascii="Franklin Gothic Medium" w:hAnsi="Franklin Gothic Medium"/>
          <w:sz w:val="24"/>
          <w:szCs w:val="24"/>
          <w:lang w:eastAsia="el-GR"/>
        </w:rPr>
        <w:t xml:space="preserve">, κατόπιν ολοκλήρωσης των προβλεπόμενων διοικητικών και τεχνικών ελέγχων. Οι ενισχύσεις ανέρχονται στο ποσό των </w:t>
      </w:r>
      <w:r w:rsidRPr="001522B5">
        <w:rPr>
          <w:rFonts w:ascii="Franklin Gothic Medium" w:hAnsi="Franklin Gothic Medium"/>
          <w:b/>
          <w:bCs/>
          <w:sz w:val="24"/>
          <w:szCs w:val="24"/>
          <w:lang w:eastAsia="el-GR"/>
        </w:rPr>
        <w:t>27.842.219,04 ευρώ</w:t>
      </w:r>
      <w:r w:rsidRPr="001522B5">
        <w:rPr>
          <w:rFonts w:ascii="Franklin Gothic Medium" w:hAnsi="Franklin Gothic Medium"/>
          <w:sz w:val="24"/>
          <w:szCs w:val="24"/>
          <w:lang w:eastAsia="el-GR"/>
        </w:rPr>
        <w:t xml:space="preserve"> και αφορούν στη Βασική Εισοδηματική Στήριξη, στη Συμπληρωματική Στήριξη Αναδιανεμητικού Εισοδήματος για τη Βιωσιμότητα και στην Ενίσχυση Γεωργών Νεαρής Ηλικίας, ενώ για πρώτη φορά πραγματοποιήθηκαν ανακτήσεις μέσω συμψηφισ</w:t>
      </w:r>
      <w:bookmarkStart w:id="0" w:name="_GoBack"/>
      <w:bookmarkEnd w:id="0"/>
      <w:r w:rsidRPr="001522B5">
        <w:rPr>
          <w:rFonts w:ascii="Franklin Gothic Medium" w:hAnsi="Franklin Gothic Medium"/>
          <w:sz w:val="24"/>
          <w:szCs w:val="24"/>
          <w:lang w:eastAsia="el-GR"/>
        </w:rPr>
        <w:t>μών και δεσμεύσεις ποσών για περαιτέρω έλεγχο.</w:t>
      </w:r>
    </w:p>
    <w:p w14:paraId="27911F46" w14:textId="77777777" w:rsidR="001522B5" w:rsidRPr="001522B5" w:rsidRDefault="001522B5" w:rsidP="00D0508F">
      <w:pPr>
        <w:spacing w:before="120" w:after="120" w:line="276" w:lineRule="auto"/>
        <w:jc w:val="both"/>
        <w:rPr>
          <w:rFonts w:ascii="Franklin Gothic Medium" w:hAnsi="Franklin Gothic Medium"/>
          <w:b/>
          <w:bCs/>
          <w:sz w:val="24"/>
          <w:szCs w:val="24"/>
          <w:lang w:eastAsia="el-GR"/>
        </w:rPr>
      </w:pPr>
      <w:r w:rsidRPr="001522B5">
        <w:rPr>
          <w:rFonts w:ascii="Franklin Gothic Medium" w:hAnsi="Franklin Gothic Medium"/>
          <w:b/>
          <w:bCs/>
          <w:sz w:val="24"/>
          <w:szCs w:val="24"/>
          <w:lang w:eastAsia="el-GR"/>
        </w:rPr>
        <w:t>Α. Βασική Εισοδηματική Στήριξη</w:t>
      </w:r>
    </w:p>
    <w:p w14:paraId="05699B2C"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Για τη Βασική Εισοδηματική Στήριξη καταβλήθηκε ποσό </w:t>
      </w:r>
      <w:r w:rsidRPr="001522B5">
        <w:rPr>
          <w:rFonts w:ascii="Franklin Gothic Medium" w:hAnsi="Franklin Gothic Medium"/>
          <w:b/>
          <w:bCs/>
          <w:sz w:val="24"/>
          <w:szCs w:val="24"/>
          <w:lang w:eastAsia="el-GR"/>
        </w:rPr>
        <w:t>21.868.361,31 ευρώ</w:t>
      </w:r>
      <w:r w:rsidRPr="001522B5">
        <w:rPr>
          <w:rFonts w:ascii="Franklin Gothic Medium" w:hAnsi="Franklin Gothic Medium"/>
          <w:sz w:val="24"/>
          <w:szCs w:val="24"/>
          <w:lang w:eastAsia="el-GR"/>
        </w:rPr>
        <w:t xml:space="preserve"> σε </w:t>
      </w:r>
      <w:r w:rsidRPr="001522B5">
        <w:rPr>
          <w:rFonts w:ascii="Franklin Gothic Medium" w:hAnsi="Franklin Gothic Medium"/>
          <w:b/>
          <w:bCs/>
          <w:sz w:val="24"/>
          <w:szCs w:val="24"/>
          <w:lang w:eastAsia="el-GR"/>
        </w:rPr>
        <w:t>17.174 παραγωγούς</w:t>
      </w:r>
      <w:r w:rsidRPr="001522B5">
        <w:rPr>
          <w:rFonts w:ascii="Franklin Gothic Medium" w:hAnsi="Franklin Gothic Medium"/>
          <w:sz w:val="24"/>
          <w:szCs w:val="24"/>
          <w:lang w:eastAsia="el-GR"/>
        </w:rPr>
        <w:t>.</w:t>
      </w:r>
    </w:p>
    <w:p w14:paraId="3F729930"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Στο πλαίσιο της διαδικασίας:</w:t>
      </w:r>
    </w:p>
    <w:p w14:paraId="2A6B94BD" w14:textId="77777777" w:rsidR="001522B5" w:rsidRPr="001522B5" w:rsidRDefault="001522B5" w:rsidP="00D0508F">
      <w:pPr>
        <w:pStyle w:val="a3"/>
        <w:numPr>
          <w:ilvl w:val="0"/>
          <w:numId w:val="21"/>
        </w:num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Κρίθηκαν εμπρόθεσμες οι αιτήσεις </w:t>
      </w:r>
      <w:r w:rsidRPr="001522B5">
        <w:rPr>
          <w:rFonts w:ascii="Franklin Gothic Medium" w:hAnsi="Franklin Gothic Medium"/>
          <w:b/>
          <w:bCs/>
          <w:sz w:val="24"/>
          <w:szCs w:val="24"/>
          <w:lang w:eastAsia="el-GR"/>
        </w:rPr>
        <w:t>517 δικαιούχων</w:t>
      </w:r>
      <w:r w:rsidRPr="001522B5">
        <w:rPr>
          <w:rFonts w:ascii="Franklin Gothic Medium" w:hAnsi="Franklin Gothic Medium"/>
          <w:sz w:val="24"/>
          <w:szCs w:val="24"/>
          <w:lang w:eastAsia="el-GR"/>
        </w:rPr>
        <w:t xml:space="preserve"> που είχαν λάβει αριθμό πρωτοκόλλου την </w:t>
      </w:r>
      <w:r w:rsidRPr="001522B5">
        <w:rPr>
          <w:rFonts w:ascii="Franklin Gothic Medium" w:hAnsi="Franklin Gothic Medium"/>
          <w:b/>
          <w:bCs/>
          <w:sz w:val="24"/>
          <w:szCs w:val="24"/>
          <w:lang w:eastAsia="el-GR"/>
        </w:rPr>
        <w:t>01.09.2025</w:t>
      </w:r>
      <w:r w:rsidRPr="001522B5">
        <w:rPr>
          <w:rFonts w:ascii="Franklin Gothic Medium" w:hAnsi="Franklin Gothic Medium"/>
          <w:sz w:val="24"/>
          <w:szCs w:val="24"/>
          <w:lang w:eastAsia="el-GR"/>
        </w:rPr>
        <w:t>.</w:t>
      </w:r>
    </w:p>
    <w:p w14:paraId="7C35E961" w14:textId="77777777" w:rsidR="001522B5" w:rsidRPr="001522B5" w:rsidRDefault="001522B5" w:rsidP="00D0508F">
      <w:pPr>
        <w:pStyle w:val="a3"/>
        <w:numPr>
          <w:ilvl w:val="0"/>
          <w:numId w:val="21"/>
        </w:num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Αξιολογήθηκαν φωτογραφίες με </w:t>
      </w:r>
      <w:proofErr w:type="spellStart"/>
      <w:r w:rsidRPr="001522B5">
        <w:rPr>
          <w:rFonts w:ascii="Franklin Gothic Medium" w:hAnsi="Franklin Gothic Medium"/>
          <w:sz w:val="24"/>
          <w:szCs w:val="24"/>
          <w:lang w:eastAsia="el-GR"/>
        </w:rPr>
        <w:t>γεωσήμανση</w:t>
      </w:r>
      <w:proofErr w:type="spellEnd"/>
      <w:r w:rsidRPr="001522B5">
        <w:rPr>
          <w:rFonts w:ascii="Franklin Gothic Medium" w:hAnsi="Franklin Gothic Medium"/>
          <w:sz w:val="24"/>
          <w:szCs w:val="24"/>
          <w:lang w:eastAsia="el-GR"/>
        </w:rPr>
        <w:t xml:space="preserve"> που εστάλησαν από δικαιούχους, των οποίων τα αγροτεμάχια είχαν χαρακτηρισμό «κίτρινα» μετά τον έλεγχο με τεχνικές παρακολούθησης γης. Η διαδικασία αφορούσε </w:t>
      </w:r>
      <w:r w:rsidRPr="001522B5">
        <w:rPr>
          <w:rFonts w:ascii="Franklin Gothic Medium" w:hAnsi="Franklin Gothic Medium"/>
          <w:b/>
          <w:bCs/>
          <w:sz w:val="24"/>
          <w:szCs w:val="24"/>
          <w:lang w:eastAsia="el-GR"/>
        </w:rPr>
        <w:t>483 παραγωγούς</w:t>
      </w:r>
      <w:r w:rsidRPr="001522B5">
        <w:rPr>
          <w:rFonts w:ascii="Franklin Gothic Medium" w:hAnsi="Franklin Gothic Medium"/>
          <w:sz w:val="24"/>
          <w:szCs w:val="24"/>
          <w:lang w:eastAsia="el-GR"/>
        </w:rPr>
        <w:t xml:space="preserve"> και </w:t>
      </w:r>
      <w:r w:rsidRPr="001522B5">
        <w:rPr>
          <w:rFonts w:ascii="Franklin Gothic Medium" w:hAnsi="Franklin Gothic Medium"/>
          <w:b/>
          <w:bCs/>
          <w:sz w:val="24"/>
          <w:szCs w:val="24"/>
          <w:lang w:eastAsia="el-GR"/>
        </w:rPr>
        <w:t>2.412 αγροτεμάχια</w:t>
      </w:r>
      <w:r w:rsidRPr="001522B5">
        <w:rPr>
          <w:rFonts w:ascii="Franklin Gothic Medium" w:hAnsi="Franklin Gothic Medium"/>
          <w:sz w:val="24"/>
          <w:szCs w:val="24"/>
          <w:lang w:eastAsia="el-GR"/>
        </w:rPr>
        <w:t>.</w:t>
      </w:r>
    </w:p>
    <w:p w14:paraId="3B471C75" w14:textId="77777777" w:rsidR="001522B5" w:rsidRPr="001522B5" w:rsidRDefault="001522B5" w:rsidP="00D0508F">
      <w:pPr>
        <w:pStyle w:val="a3"/>
        <w:numPr>
          <w:ilvl w:val="0"/>
          <w:numId w:val="21"/>
        </w:num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Συνεχίστηκε ο διοικητικός έλεγχος μεταβιβάσεων δικαιωμάτων </w:t>
      </w:r>
      <w:r w:rsidRPr="001522B5">
        <w:rPr>
          <w:rFonts w:ascii="Franklin Gothic Medium" w:hAnsi="Franklin Gothic Medium"/>
          <w:b/>
          <w:bCs/>
          <w:sz w:val="24"/>
          <w:szCs w:val="24"/>
          <w:lang w:eastAsia="el-GR"/>
        </w:rPr>
        <w:t>2015–2022</w:t>
      </w:r>
      <w:r w:rsidRPr="001522B5">
        <w:rPr>
          <w:rFonts w:ascii="Franklin Gothic Medium" w:hAnsi="Franklin Gothic Medium"/>
          <w:sz w:val="24"/>
          <w:szCs w:val="24"/>
          <w:lang w:eastAsia="el-GR"/>
        </w:rPr>
        <w:t xml:space="preserve"> βασικής εισοδηματικής στήριξης για τη βιωσιμότητα. Πληρώθηκαν </w:t>
      </w:r>
      <w:r w:rsidRPr="001522B5">
        <w:rPr>
          <w:rFonts w:ascii="Franklin Gothic Medium" w:hAnsi="Franklin Gothic Medium"/>
          <w:b/>
          <w:bCs/>
          <w:sz w:val="24"/>
          <w:szCs w:val="24"/>
          <w:lang w:eastAsia="el-GR"/>
        </w:rPr>
        <w:t>348 αποδέκτες δικαιωμάτων</w:t>
      </w:r>
      <w:r w:rsidRPr="001522B5">
        <w:rPr>
          <w:rFonts w:ascii="Franklin Gothic Medium" w:hAnsi="Franklin Gothic Medium"/>
          <w:sz w:val="24"/>
          <w:szCs w:val="24"/>
          <w:lang w:eastAsia="el-GR"/>
        </w:rPr>
        <w:t xml:space="preserve"> και αποδεσμεύτηκαν αντίστοιχα οι </w:t>
      </w:r>
      <w:proofErr w:type="spellStart"/>
      <w:r w:rsidRPr="001522B5">
        <w:rPr>
          <w:rFonts w:ascii="Franklin Gothic Medium" w:hAnsi="Franklin Gothic Medium"/>
          <w:sz w:val="24"/>
          <w:szCs w:val="24"/>
          <w:lang w:eastAsia="el-GR"/>
        </w:rPr>
        <w:t>μεταβιβαστές</w:t>
      </w:r>
      <w:proofErr w:type="spellEnd"/>
      <w:r w:rsidRPr="001522B5">
        <w:rPr>
          <w:rFonts w:ascii="Franklin Gothic Medium" w:hAnsi="Franklin Gothic Medium"/>
          <w:sz w:val="24"/>
          <w:szCs w:val="24"/>
          <w:lang w:eastAsia="el-GR"/>
        </w:rPr>
        <w:t>.</w:t>
      </w:r>
    </w:p>
    <w:p w14:paraId="321B95D6" w14:textId="77777777" w:rsidR="001522B5" w:rsidRPr="001522B5" w:rsidRDefault="001522B5" w:rsidP="00D0508F">
      <w:pPr>
        <w:pStyle w:val="a3"/>
        <w:numPr>
          <w:ilvl w:val="0"/>
          <w:numId w:val="21"/>
        </w:num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Μετά από αξιολόγηση των στοιχείων </w:t>
      </w:r>
      <w:r w:rsidRPr="001522B5">
        <w:rPr>
          <w:rFonts w:ascii="Franklin Gothic Medium" w:hAnsi="Franklin Gothic Medium"/>
          <w:b/>
          <w:bCs/>
          <w:sz w:val="24"/>
          <w:szCs w:val="24"/>
          <w:lang w:eastAsia="el-GR"/>
        </w:rPr>
        <w:t>ΑΤΑΚ</w:t>
      </w:r>
      <w:r w:rsidRPr="001522B5">
        <w:rPr>
          <w:rFonts w:ascii="Franklin Gothic Medium" w:hAnsi="Franklin Gothic Medium"/>
          <w:sz w:val="24"/>
          <w:szCs w:val="24"/>
          <w:lang w:eastAsia="el-GR"/>
        </w:rPr>
        <w:t xml:space="preserve">, καταβλήθηκε συμπληρωματικό ποσό σε </w:t>
      </w:r>
      <w:r w:rsidRPr="001522B5">
        <w:rPr>
          <w:rFonts w:ascii="Franklin Gothic Medium" w:hAnsi="Franklin Gothic Medium"/>
          <w:b/>
          <w:bCs/>
          <w:sz w:val="24"/>
          <w:szCs w:val="24"/>
          <w:lang w:eastAsia="el-GR"/>
        </w:rPr>
        <w:t>164 παραγωγούς</w:t>
      </w:r>
      <w:r w:rsidRPr="001522B5">
        <w:rPr>
          <w:rFonts w:ascii="Franklin Gothic Medium" w:hAnsi="Franklin Gothic Medium"/>
          <w:sz w:val="24"/>
          <w:szCs w:val="24"/>
          <w:lang w:eastAsia="el-GR"/>
        </w:rPr>
        <w:t xml:space="preserve"> για </w:t>
      </w:r>
      <w:r w:rsidRPr="001522B5">
        <w:rPr>
          <w:rFonts w:ascii="Franklin Gothic Medium" w:hAnsi="Franklin Gothic Medium"/>
          <w:b/>
          <w:bCs/>
          <w:sz w:val="24"/>
          <w:szCs w:val="24"/>
          <w:lang w:eastAsia="el-GR"/>
        </w:rPr>
        <w:t>1.026 αγροτεμάχια</w:t>
      </w:r>
      <w:r w:rsidRPr="001522B5">
        <w:rPr>
          <w:rFonts w:ascii="Franklin Gothic Medium" w:hAnsi="Franklin Gothic Medium"/>
          <w:sz w:val="24"/>
          <w:szCs w:val="24"/>
          <w:lang w:eastAsia="el-GR"/>
        </w:rPr>
        <w:t>.</w:t>
      </w:r>
    </w:p>
    <w:p w14:paraId="67500AB5"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Επιπλέον, πραγματοποιήθηκε συμπληρωματική κατανομή βοσκοτόπων στους κτηνοτρόφους, στο πλαίσιο της οποίας:</w:t>
      </w:r>
    </w:p>
    <w:p w14:paraId="04B7A50A" w14:textId="77777777" w:rsidR="001522B5" w:rsidRPr="001522B5" w:rsidRDefault="001522B5" w:rsidP="00D0508F">
      <w:pPr>
        <w:pStyle w:val="a3"/>
        <w:numPr>
          <w:ilvl w:val="0"/>
          <w:numId w:val="22"/>
        </w:num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b/>
          <w:bCs/>
          <w:sz w:val="24"/>
          <w:szCs w:val="24"/>
          <w:lang w:eastAsia="el-GR"/>
        </w:rPr>
        <w:lastRenderedPageBreak/>
        <w:t>4.078 κτηνοτρόφοι</w:t>
      </w:r>
      <w:r w:rsidRPr="001522B5">
        <w:rPr>
          <w:rFonts w:ascii="Franklin Gothic Medium" w:hAnsi="Franklin Gothic Medium"/>
          <w:sz w:val="24"/>
          <w:szCs w:val="24"/>
          <w:lang w:eastAsia="el-GR"/>
        </w:rPr>
        <w:t xml:space="preserve"> έλαβαν κατανομή βοσκοτόπων για πρώτη φορά,</w:t>
      </w:r>
    </w:p>
    <w:p w14:paraId="14431799" w14:textId="77777777" w:rsidR="001522B5" w:rsidRPr="001522B5" w:rsidRDefault="001522B5" w:rsidP="00D0508F">
      <w:pPr>
        <w:pStyle w:val="a3"/>
        <w:numPr>
          <w:ilvl w:val="0"/>
          <w:numId w:val="22"/>
        </w:num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b/>
          <w:bCs/>
          <w:sz w:val="24"/>
          <w:szCs w:val="24"/>
          <w:lang w:eastAsia="el-GR"/>
        </w:rPr>
        <w:t>47.989 κτηνοτρόφοι</w:t>
      </w:r>
      <w:r w:rsidRPr="001522B5">
        <w:rPr>
          <w:rFonts w:ascii="Franklin Gothic Medium" w:hAnsi="Franklin Gothic Medium"/>
          <w:sz w:val="24"/>
          <w:szCs w:val="24"/>
          <w:lang w:eastAsia="el-GR"/>
        </w:rPr>
        <w:t xml:space="preserve"> έλαβαν συμπληρωματική κατανομή βοσκοτόπων.</w:t>
      </w:r>
    </w:p>
    <w:p w14:paraId="6CED0D70"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Επίσης, πληρώθηκαν </w:t>
      </w:r>
      <w:r w:rsidRPr="001522B5">
        <w:rPr>
          <w:rFonts w:ascii="Franklin Gothic Medium" w:hAnsi="Franklin Gothic Medium"/>
          <w:b/>
          <w:bCs/>
          <w:sz w:val="24"/>
          <w:szCs w:val="24"/>
          <w:lang w:eastAsia="el-GR"/>
        </w:rPr>
        <w:t>2.213 δικαιούχοι</w:t>
      </w:r>
      <w:r w:rsidRPr="001522B5">
        <w:rPr>
          <w:rFonts w:ascii="Franklin Gothic Medium" w:hAnsi="Franklin Gothic Medium"/>
          <w:sz w:val="24"/>
          <w:szCs w:val="24"/>
          <w:lang w:eastAsia="el-GR"/>
        </w:rPr>
        <w:t xml:space="preserve"> με </w:t>
      </w:r>
      <w:r w:rsidRPr="001522B5">
        <w:rPr>
          <w:rFonts w:ascii="Franklin Gothic Medium" w:hAnsi="Franklin Gothic Medium"/>
          <w:b/>
          <w:bCs/>
          <w:sz w:val="24"/>
          <w:szCs w:val="24"/>
          <w:lang w:eastAsia="el-GR"/>
        </w:rPr>
        <w:t>7.802 αγροτεμάχια</w:t>
      </w:r>
      <w:r w:rsidRPr="001522B5">
        <w:rPr>
          <w:rFonts w:ascii="Franklin Gothic Medium" w:hAnsi="Franklin Gothic Medium"/>
          <w:sz w:val="24"/>
          <w:szCs w:val="24"/>
          <w:lang w:eastAsia="el-GR"/>
        </w:rPr>
        <w:t xml:space="preserve">, οι οποίοι συμπλήρωσαν υπεύθυνη δήλωση σε εφαρμογή που αναρτήθηκε στην πλατφόρμα </w:t>
      </w:r>
      <w:proofErr w:type="spellStart"/>
      <w:r w:rsidRPr="001522B5">
        <w:rPr>
          <w:rFonts w:ascii="Franklin Gothic Medium" w:hAnsi="Franklin Gothic Medium"/>
          <w:b/>
          <w:bCs/>
          <w:sz w:val="24"/>
          <w:szCs w:val="24"/>
          <w:lang w:eastAsia="el-GR"/>
        </w:rPr>
        <w:t>myBusiness</w:t>
      </w:r>
      <w:proofErr w:type="spellEnd"/>
      <w:r w:rsidRPr="001522B5">
        <w:rPr>
          <w:rFonts w:ascii="Franklin Gothic Medium" w:hAnsi="Franklin Gothic Medium"/>
          <w:b/>
          <w:bCs/>
          <w:sz w:val="24"/>
          <w:szCs w:val="24"/>
          <w:lang w:val="en-US" w:eastAsia="el-GR"/>
        </w:rPr>
        <w:t>Support</w:t>
      </w:r>
      <w:r w:rsidRPr="001522B5">
        <w:rPr>
          <w:rFonts w:ascii="Franklin Gothic Medium" w:hAnsi="Franklin Gothic Medium"/>
          <w:sz w:val="24"/>
          <w:szCs w:val="24"/>
          <w:lang w:eastAsia="el-GR"/>
        </w:rPr>
        <w:t xml:space="preserve">, για αγροτεμάχια που είχαν εξαιρεθεί της πληρωμής λόγω ασυμφωνίας με τα στοιχεία της </w:t>
      </w:r>
      <w:r w:rsidRPr="001522B5">
        <w:rPr>
          <w:rFonts w:ascii="Franklin Gothic Medium" w:hAnsi="Franklin Gothic Medium"/>
          <w:b/>
          <w:bCs/>
          <w:sz w:val="24"/>
          <w:szCs w:val="24"/>
          <w:lang w:eastAsia="el-GR"/>
        </w:rPr>
        <w:t>Κτηματολόγιο Α.Ε.</w:t>
      </w:r>
    </w:p>
    <w:p w14:paraId="5D297F1E"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Τέλος, καταβλήθηκε ποσό σε </w:t>
      </w:r>
      <w:r w:rsidRPr="001522B5">
        <w:rPr>
          <w:rFonts w:ascii="Franklin Gothic Medium" w:hAnsi="Franklin Gothic Medium"/>
          <w:b/>
          <w:bCs/>
          <w:sz w:val="24"/>
          <w:szCs w:val="24"/>
          <w:lang w:eastAsia="el-GR"/>
        </w:rPr>
        <w:t>427 παραγωγούς</w:t>
      </w:r>
      <w:r w:rsidRPr="001522B5">
        <w:rPr>
          <w:rFonts w:ascii="Franklin Gothic Medium" w:hAnsi="Franklin Gothic Medium"/>
          <w:sz w:val="24"/>
          <w:szCs w:val="24"/>
          <w:lang w:eastAsia="el-GR"/>
        </w:rPr>
        <w:t xml:space="preserve">, μετά τον προσδιορισμό συνολικού ποσού μεγαλύτερου των </w:t>
      </w:r>
      <w:r w:rsidRPr="001522B5">
        <w:rPr>
          <w:rFonts w:ascii="Franklin Gothic Medium" w:hAnsi="Franklin Gothic Medium"/>
          <w:b/>
          <w:bCs/>
          <w:sz w:val="24"/>
          <w:szCs w:val="24"/>
          <w:lang w:eastAsia="el-GR"/>
        </w:rPr>
        <w:t>150 ευρώ</w:t>
      </w:r>
      <w:r w:rsidRPr="001522B5">
        <w:rPr>
          <w:rFonts w:ascii="Franklin Gothic Medium" w:hAnsi="Franklin Gothic Medium"/>
          <w:sz w:val="24"/>
          <w:szCs w:val="24"/>
          <w:lang w:eastAsia="el-GR"/>
        </w:rPr>
        <w:t>. Ο αριθμός αυτός δύναται να αυξηθεί εφόσον καταβληθούν οι συνδεδεμένες ενισχύσεις, τα οικολογικά προγράμματα και οι δικαιούχοι κριθούν επιλέξιμοι.</w:t>
      </w:r>
    </w:p>
    <w:p w14:paraId="1BFE7E70" w14:textId="77777777" w:rsidR="001522B5" w:rsidRPr="001522B5" w:rsidRDefault="001522B5" w:rsidP="00D0508F">
      <w:pPr>
        <w:spacing w:before="120" w:after="120" w:line="276" w:lineRule="auto"/>
        <w:jc w:val="both"/>
        <w:rPr>
          <w:rFonts w:ascii="Franklin Gothic Medium" w:hAnsi="Franklin Gothic Medium"/>
          <w:b/>
          <w:bCs/>
          <w:sz w:val="24"/>
          <w:szCs w:val="24"/>
          <w:lang w:eastAsia="el-GR"/>
        </w:rPr>
      </w:pPr>
      <w:r w:rsidRPr="001522B5">
        <w:rPr>
          <w:rFonts w:ascii="Franklin Gothic Medium" w:hAnsi="Franklin Gothic Medium"/>
          <w:b/>
          <w:bCs/>
          <w:sz w:val="24"/>
          <w:szCs w:val="24"/>
          <w:lang w:eastAsia="el-GR"/>
        </w:rPr>
        <w:t>Β. Συμπληρωματική Στήριξη Αναδιανεμητικού Εισοδήματος για τη Βιωσιμότητα</w:t>
      </w:r>
    </w:p>
    <w:p w14:paraId="0D454EAE"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Για τη Συμπληρωματική Στήριξη του Αναδιανεμητικού Εισοδήματος για τη Βιωσιμότητα καταβλήθηκε ποσό </w:t>
      </w:r>
      <w:r w:rsidRPr="001522B5">
        <w:rPr>
          <w:rFonts w:ascii="Franklin Gothic Medium" w:hAnsi="Franklin Gothic Medium"/>
          <w:b/>
          <w:bCs/>
          <w:sz w:val="24"/>
          <w:szCs w:val="24"/>
          <w:lang w:eastAsia="el-GR"/>
        </w:rPr>
        <w:t>4.388.084,07 ευρώ</w:t>
      </w:r>
      <w:r w:rsidRPr="001522B5">
        <w:rPr>
          <w:rFonts w:ascii="Franklin Gothic Medium" w:hAnsi="Franklin Gothic Medium"/>
          <w:sz w:val="24"/>
          <w:szCs w:val="24"/>
          <w:lang w:eastAsia="el-GR"/>
        </w:rPr>
        <w:t xml:space="preserve"> σε </w:t>
      </w:r>
      <w:r w:rsidRPr="001522B5">
        <w:rPr>
          <w:rFonts w:ascii="Franklin Gothic Medium" w:hAnsi="Franklin Gothic Medium"/>
          <w:b/>
          <w:bCs/>
          <w:sz w:val="24"/>
          <w:szCs w:val="24"/>
          <w:lang w:eastAsia="el-GR"/>
        </w:rPr>
        <w:t>6.819 δικαιούχους</w:t>
      </w:r>
      <w:r w:rsidRPr="001522B5">
        <w:rPr>
          <w:rFonts w:ascii="Franklin Gothic Medium" w:hAnsi="Franklin Gothic Medium"/>
          <w:sz w:val="24"/>
          <w:szCs w:val="24"/>
          <w:lang w:eastAsia="el-GR"/>
        </w:rPr>
        <w:t>.</w:t>
      </w:r>
    </w:p>
    <w:p w14:paraId="36E82155" w14:textId="77777777" w:rsidR="001522B5" w:rsidRPr="001522B5" w:rsidRDefault="001522B5" w:rsidP="00D0508F">
      <w:pPr>
        <w:spacing w:before="120" w:after="120" w:line="276" w:lineRule="auto"/>
        <w:jc w:val="both"/>
        <w:rPr>
          <w:rFonts w:ascii="Franklin Gothic Medium" w:hAnsi="Franklin Gothic Medium"/>
          <w:b/>
          <w:bCs/>
          <w:sz w:val="24"/>
          <w:szCs w:val="24"/>
          <w:lang w:eastAsia="el-GR"/>
        </w:rPr>
      </w:pPr>
      <w:r w:rsidRPr="001522B5">
        <w:rPr>
          <w:rFonts w:ascii="Franklin Gothic Medium" w:hAnsi="Franklin Gothic Medium"/>
          <w:b/>
          <w:bCs/>
          <w:sz w:val="24"/>
          <w:szCs w:val="24"/>
          <w:lang w:eastAsia="el-GR"/>
        </w:rPr>
        <w:t>Γ. Ενίσχυση Γεωργών Νεαρής Ηλικίας</w:t>
      </w:r>
    </w:p>
    <w:p w14:paraId="02539598"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Για την Ενίσχυση Γεωργών Νεαρής Ηλικίας καταβλήθηκε ποσό </w:t>
      </w:r>
      <w:r w:rsidRPr="001522B5">
        <w:rPr>
          <w:rFonts w:ascii="Franklin Gothic Medium" w:hAnsi="Franklin Gothic Medium"/>
          <w:b/>
          <w:bCs/>
          <w:sz w:val="24"/>
          <w:szCs w:val="24"/>
          <w:lang w:eastAsia="el-GR"/>
        </w:rPr>
        <w:t>528.591,22 ευρώ</w:t>
      </w:r>
      <w:r w:rsidRPr="001522B5">
        <w:rPr>
          <w:rFonts w:ascii="Franklin Gothic Medium" w:hAnsi="Franklin Gothic Medium"/>
          <w:sz w:val="24"/>
          <w:szCs w:val="24"/>
          <w:lang w:eastAsia="el-GR"/>
        </w:rPr>
        <w:t xml:space="preserve"> σε </w:t>
      </w:r>
      <w:r w:rsidRPr="001522B5">
        <w:rPr>
          <w:rFonts w:ascii="Franklin Gothic Medium" w:hAnsi="Franklin Gothic Medium"/>
          <w:b/>
          <w:bCs/>
          <w:sz w:val="24"/>
          <w:szCs w:val="24"/>
          <w:lang w:eastAsia="el-GR"/>
        </w:rPr>
        <w:t>1.348 δικαιούχους</w:t>
      </w:r>
      <w:r w:rsidRPr="001522B5">
        <w:rPr>
          <w:rFonts w:ascii="Franklin Gothic Medium" w:hAnsi="Franklin Gothic Medium"/>
          <w:sz w:val="24"/>
          <w:szCs w:val="24"/>
          <w:lang w:eastAsia="el-GR"/>
        </w:rPr>
        <w:t>.</w:t>
      </w:r>
    </w:p>
    <w:p w14:paraId="5B9EA848" w14:textId="77777777" w:rsidR="001522B5" w:rsidRPr="001522B5" w:rsidRDefault="001522B5" w:rsidP="00D0508F">
      <w:pPr>
        <w:spacing w:before="120" w:after="120" w:line="276" w:lineRule="auto"/>
        <w:jc w:val="both"/>
        <w:rPr>
          <w:rFonts w:ascii="Franklin Gothic Medium" w:hAnsi="Franklin Gothic Medium"/>
          <w:b/>
          <w:bCs/>
          <w:sz w:val="24"/>
          <w:szCs w:val="24"/>
          <w:lang w:eastAsia="el-GR"/>
        </w:rPr>
      </w:pPr>
      <w:r w:rsidRPr="001522B5">
        <w:rPr>
          <w:rFonts w:ascii="Franklin Gothic Medium" w:hAnsi="Franklin Gothic Medium"/>
          <w:b/>
          <w:bCs/>
          <w:sz w:val="24"/>
          <w:szCs w:val="24"/>
          <w:lang w:eastAsia="el-GR"/>
        </w:rPr>
        <w:t>Ανακτήσεις και δεσμεύσεις ποσών στο πλαίσιο ελέγχων</w:t>
      </w:r>
    </w:p>
    <w:p w14:paraId="70AAB79C"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Στο πλαίσιο της διαδικασίας πληρωμών, πραγματοποιήθηκαν </w:t>
      </w:r>
      <w:r w:rsidRPr="001522B5">
        <w:rPr>
          <w:rFonts w:ascii="Franklin Gothic Medium" w:hAnsi="Franklin Gothic Medium"/>
          <w:b/>
          <w:bCs/>
          <w:sz w:val="24"/>
          <w:szCs w:val="24"/>
          <w:lang w:eastAsia="el-GR"/>
        </w:rPr>
        <w:t>ανακτήσεις μέσω συμψηφισμών</w:t>
      </w:r>
      <w:r w:rsidRPr="001522B5">
        <w:rPr>
          <w:rFonts w:ascii="Franklin Gothic Medium" w:hAnsi="Franklin Gothic Medium"/>
          <w:sz w:val="24"/>
          <w:szCs w:val="24"/>
          <w:lang w:eastAsia="el-GR"/>
        </w:rPr>
        <w:t xml:space="preserve"> (οφειλές παλαιοτέρων ετών) συνολικού ποσού </w:t>
      </w:r>
      <w:r w:rsidRPr="001522B5">
        <w:rPr>
          <w:rFonts w:ascii="Franklin Gothic Medium" w:hAnsi="Franklin Gothic Medium"/>
          <w:b/>
          <w:bCs/>
          <w:sz w:val="24"/>
          <w:szCs w:val="24"/>
          <w:lang w:eastAsia="el-GR"/>
        </w:rPr>
        <w:t>120.028,82 ευρώ</w:t>
      </w:r>
      <w:r w:rsidRPr="001522B5">
        <w:rPr>
          <w:rFonts w:ascii="Franklin Gothic Medium" w:hAnsi="Franklin Gothic Medium"/>
          <w:sz w:val="24"/>
          <w:szCs w:val="24"/>
          <w:lang w:eastAsia="el-GR"/>
        </w:rPr>
        <w:t xml:space="preserve"> από </w:t>
      </w:r>
      <w:r w:rsidRPr="001522B5">
        <w:rPr>
          <w:rFonts w:ascii="Franklin Gothic Medium" w:hAnsi="Franklin Gothic Medium"/>
          <w:b/>
          <w:bCs/>
          <w:sz w:val="24"/>
          <w:szCs w:val="24"/>
          <w:lang w:eastAsia="el-GR"/>
        </w:rPr>
        <w:t>581 παραγωγούς</w:t>
      </w:r>
      <w:r w:rsidRPr="001522B5">
        <w:rPr>
          <w:rFonts w:ascii="Franklin Gothic Medium" w:hAnsi="Franklin Gothic Medium"/>
          <w:sz w:val="24"/>
          <w:szCs w:val="24"/>
          <w:lang w:eastAsia="el-GR"/>
        </w:rPr>
        <w:t>.</w:t>
      </w:r>
    </w:p>
    <w:p w14:paraId="6052CA44"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Παράλληλα, </w:t>
      </w:r>
      <w:r w:rsidRPr="001522B5">
        <w:rPr>
          <w:rFonts w:ascii="Franklin Gothic Medium" w:hAnsi="Franklin Gothic Medium"/>
          <w:b/>
          <w:bCs/>
          <w:sz w:val="24"/>
          <w:szCs w:val="24"/>
          <w:lang w:eastAsia="el-GR"/>
        </w:rPr>
        <w:t>δεσμεύτηκαν ποσά για περαιτέρω έλεγχο</w:t>
      </w:r>
      <w:r w:rsidRPr="001522B5">
        <w:rPr>
          <w:rFonts w:ascii="Franklin Gothic Medium" w:hAnsi="Franklin Gothic Medium"/>
          <w:sz w:val="24"/>
          <w:szCs w:val="24"/>
          <w:lang w:eastAsia="el-GR"/>
        </w:rPr>
        <w:t xml:space="preserve"> συνολικού ύψους </w:t>
      </w:r>
      <w:r w:rsidRPr="001522B5">
        <w:rPr>
          <w:rFonts w:ascii="Franklin Gothic Medium" w:hAnsi="Franklin Gothic Medium"/>
          <w:b/>
          <w:bCs/>
          <w:sz w:val="24"/>
          <w:szCs w:val="24"/>
          <w:lang w:eastAsia="el-GR"/>
        </w:rPr>
        <w:t>14.837.377,95 ευρώ</w:t>
      </w:r>
      <w:r w:rsidRPr="001522B5">
        <w:rPr>
          <w:rFonts w:ascii="Franklin Gothic Medium" w:hAnsi="Franklin Gothic Medium"/>
          <w:sz w:val="24"/>
          <w:szCs w:val="24"/>
          <w:lang w:eastAsia="el-GR"/>
        </w:rPr>
        <w:t>. Οι παραγωγοί αυτοί θα ενταχθούν σε επόμενες πληρωμές, μετά την ολοκλήρωση των απαραίτητων ελέγχων.</w:t>
      </w:r>
    </w:p>
    <w:p w14:paraId="63267070"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 xml:space="preserve">Τέλος, δεν περιλαμβάνονται στις πληρωμές </w:t>
      </w:r>
      <w:r w:rsidRPr="001522B5">
        <w:rPr>
          <w:rFonts w:ascii="Franklin Gothic Medium" w:hAnsi="Franklin Gothic Medium"/>
          <w:b/>
          <w:bCs/>
          <w:sz w:val="24"/>
          <w:szCs w:val="24"/>
          <w:lang w:eastAsia="el-GR"/>
        </w:rPr>
        <w:t>1.076 δικαιούχοι</w:t>
      </w:r>
      <w:r w:rsidRPr="001522B5">
        <w:rPr>
          <w:rFonts w:ascii="Franklin Gothic Medium" w:hAnsi="Franklin Gothic Medium"/>
          <w:sz w:val="24"/>
          <w:szCs w:val="24"/>
          <w:lang w:eastAsia="el-GR"/>
        </w:rPr>
        <w:t xml:space="preserve">, οι οποίοι εμπλέκονται σε ελέγχους από τις Ελληνικές και Ευρωπαϊκές εισαγγελικές και διωκτικές αρχές. </w:t>
      </w:r>
    </w:p>
    <w:p w14:paraId="54B45B71" w14:textId="77777777" w:rsidR="001522B5" w:rsidRPr="001522B5" w:rsidRDefault="001522B5" w:rsidP="00D0508F">
      <w:pPr>
        <w:spacing w:before="120" w:after="120" w:line="276" w:lineRule="auto"/>
        <w:jc w:val="both"/>
        <w:rPr>
          <w:rFonts w:ascii="Franklin Gothic Medium" w:hAnsi="Franklin Gothic Medium"/>
          <w:sz w:val="24"/>
          <w:szCs w:val="24"/>
          <w:lang w:eastAsia="el-GR"/>
        </w:rPr>
      </w:pPr>
      <w:r w:rsidRPr="001522B5">
        <w:rPr>
          <w:rFonts w:ascii="Franklin Gothic Medium" w:hAnsi="Franklin Gothic Medium"/>
          <w:sz w:val="24"/>
          <w:szCs w:val="24"/>
          <w:lang w:eastAsia="el-GR"/>
        </w:rPr>
        <w:t>Η Ανεξάρτητη Αρχή Δημοσίων Εσόδων συνεχίζει με συνέπεια και διαφάνεια την υλοποίηση των προβλεπόμενων διαδικασιών ελέγχου και πληρωμής, αξιοποιώντας σύγχρονα ψηφιακά εργαλεία και διασταυρώσεις στοιχείων, με στόχο τη διασφάλιση της ορθής καταβολής των ενισχύσεων και την έγκαιρη εξυπηρέτηση των δικαιούχων.</w:t>
      </w:r>
    </w:p>
    <w:p w14:paraId="2624E754" w14:textId="77777777" w:rsidR="001522B5" w:rsidRPr="001522B5" w:rsidRDefault="001522B5" w:rsidP="00D0508F">
      <w:pPr>
        <w:spacing w:before="120" w:after="120" w:line="276" w:lineRule="auto"/>
        <w:jc w:val="both"/>
        <w:rPr>
          <w:rFonts w:ascii="Franklin Gothic Medium" w:hAnsi="Franklin Gothic Medium"/>
          <w:sz w:val="24"/>
          <w:szCs w:val="24"/>
        </w:rPr>
      </w:pPr>
    </w:p>
    <w:p w14:paraId="76B544EF" w14:textId="77777777" w:rsidR="005F536A" w:rsidRPr="001522B5" w:rsidRDefault="005F536A" w:rsidP="00D0508F">
      <w:pPr>
        <w:pStyle w:val="a5"/>
        <w:spacing w:before="120" w:after="120" w:line="276" w:lineRule="auto"/>
        <w:jc w:val="both"/>
        <w:rPr>
          <w:rFonts w:ascii="Franklin Gothic Medium" w:hAnsi="Franklin Gothic Medium"/>
          <w:bCs/>
          <w:sz w:val="24"/>
          <w:szCs w:val="24"/>
        </w:rPr>
      </w:pPr>
    </w:p>
    <w:sectPr w:rsidR="005F536A" w:rsidRPr="001522B5"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F63121"/>
    <w:multiLevelType w:val="hybridMultilevel"/>
    <w:tmpl w:val="055E4A7E"/>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C154F1D"/>
    <w:multiLevelType w:val="hybridMultilevel"/>
    <w:tmpl w:val="AC085E3A"/>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19"/>
  </w:num>
  <w:num w:numId="9">
    <w:abstractNumId w:val="15"/>
  </w:num>
  <w:num w:numId="10">
    <w:abstractNumId w:val="6"/>
  </w:num>
  <w:num w:numId="11">
    <w:abstractNumId w:val="18"/>
  </w:num>
  <w:num w:numId="12">
    <w:abstractNumId w:val="0"/>
  </w:num>
  <w:num w:numId="13">
    <w:abstractNumId w:val="20"/>
  </w:num>
  <w:num w:numId="14">
    <w:abstractNumId w:val="3"/>
  </w:num>
  <w:num w:numId="15">
    <w:abstractNumId w:val="12"/>
  </w:num>
  <w:num w:numId="16">
    <w:abstractNumId w:val="13"/>
  </w:num>
  <w:num w:numId="17">
    <w:abstractNumId w:val="7"/>
  </w:num>
  <w:num w:numId="18">
    <w:abstractNumId w:val="9"/>
  </w:num>
  <w:num w:numId="19">
    <w:abstractNumId w:val="4"/>
  </w:num>
  <w:num w:numId="20">
    <w:abstractNumId w:val="8"/>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64436"/>
    <w:rsid w:val="00071667"/>
    <w:rsid w:val="000757F8"/>
    <w:rsid w:val="00082964"/>
    <w:rsid w:val="00094E92"/>
    <w:rsid w:val="000B3E31"/>
    <w:rsid w:val="000B5845"/>
    <w:rsid w:val="000C30D3"/>
    <w:rsid w:val="000D3ADB"/>
    <w:rsid w:val="000E5728"/>
    <w:rsid w:val="000F6D36"/>
    <w:rsid w:val="00132B1E"/>
    <w:rsid w:val="001371D4"/>
    <w:rsid w:val="00150C90"/>
    <w:rsid w:val="001522B5"/>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A521E"/>
    <w:rsid w:val="003B5AA6"/>
    <w:rsid w:val="003D6D06"/>
    <w:rsid w:val="003D73F4"/>
    <w:rsid w:val="00402CE3"/>
    <w:rsid w:val="00423DF6"/>
    <w:rsid w:val="0043587D"/>
    <w:rsid w:val="0048239D"/>
    <w:rsid w:val="00486AB7"/>
    <w:rsid w:val="004B3BD7"/>
    <w:rsid w:val="004B67AE"/>
    <w:rsid w:val="004D4080"/>
    <w:rsid w:val="004E3390"/>
    <w:rsid w:val="004F2C71"/>
    <w:rsid w:val="00507EDC"/>
    <w:rsid w:val="00533598"/>
    <w:rsid w:val="005473F0"/>
    <w:rsid w:val="00553958"/>
    <w:rsid w:val="00553E47"/>
    <w:rsid w:val="00564F0D"/>
    <w:rsid w:val="00566C9A"/>
    <w:rsid w:val="0057140B"/>
    <w:rsid w:val="00581E34"/>
    <w:rsid w:val="005A690E"/>
    <w:rsid w:val="005C1547"/>
    <w:rsid w:val="005F536A"/>
    <w:rsid w:val="005F79B0"/>
    <w:rsid w:val="00602DC3"/>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27148"/>
    <w:rsid w:val="009320A8"/>
    <w:rsid w:val="00952E21"/>
    <w:rsid w:val="00953BFD"/>
    <w:rsid w:val="00963CB6"/>
    <w:rsid w:val="0097616C"/>
    <w:rsid w:val="0099105E"/>
    <w:rsid w:val="00991FA7"/>
    <w:rsid w:val="009A0CB3"/>
    <w:rsid w:val="009A6261"/>
    <w:rsid w:val="009B0EBA"/>
    <w:rsid w:val="009F461E"/>
    <w:rsid w:val="00A03C91"/>
    <w:rsid w:val="00A43BFC"/>
    <w:rsid w:val="00A441B7"/>
    <w:rsid w:val="00A465B1"/>
    <w:rsid w:val="00A6282C"/>
    <w:rsid w:val="00A74C0B"/>
    <w:rsid w:val="00A935D0"/>
    <w:rsid w:val="00AA069E"/>
    <w:rsid w:val="00AE04C5"/>
    <w:rsid w:val="00AF44BF"/>
    <w:rsid w:val="00B00AE7"/>
    <w:rsid w:val="00B01F71"/>
    <w:rsid w:val="00B02467"/>
    <w:rsid w:val="00B06BB8"/>
    <w:rsid w:val="00B34607"/>
    <w:rsid w:val="00B347F0"/>
    <w:rsid w:val="00B368C2"/>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6474"/>
    <w:rsid w:val="00C87351"/>
    <w:rsid w:val="00CC4B93"/>
    <w:rsid w:val="00CC546F"/>
    <w:rsid w:val="00CD3E52"/>
    <w:rsid w:val="00D0508F"/>
    <w:rsid w:val="00D058FF"/>
    <w:rsid w:val="00D35822"/>
    <w:rsid w:val="00D41831"/>
    <w:rsid w:val="00D9068B"/>
    <w:rsid w:val="00D90C1C"/>
    <w:rsid w:val="00DD6ECE"/>
    <w:rsid w:val="00DE4247"/>
    <w:rsid w:val="00E03100"/>
    <w:rsid w:val="00E12B84"/>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AF3F-C9D7-44EA-80E1-F819581A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550</Words>
  <Characters>2976</Characters>
  <Application>Microsoft Office Word</Application>
  <DocSecurity>0</DocSecurity>
  <Lines>24</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21</cp:revision>
  <cp:lastPrinted>2023-11-10T12:19:00Z</cp:lastPrinted>
  <dcterms:created xsi:type="dcterms:W3CDTF">2023-11-09T12:41:00Z</dcterms:created>
  <dcterms:modified xsi:type="dcterms:W3CDTF">2026-01-23T06:52:00Z</dcterms:modified>
</cp:coreProperties>
</file>