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355" w:rsidRPr="006B7D16" w:rsidRDefault="00492355">
      <w:pPr>
        <w:rPr>
          <w:lang w:val="en-US"/>
        </w:rPr>
      </w:pPr>
    </w:p>
    <w:tbl>
      <w:tblPr>
        <w:tblpPr w:leftFromText="180" w:rightFromText="180" w:vertAnchor="text" w:horzAnchor="margin" w:tblpY="-779"/>
        <w:tblW w:w="8505" w:type="dxa"/>
        <w:tblLayout w:type="fixed"/>
        <w:tblLook w:val="04A0" w:firstRow="1" w:lastRow="0" w:firstColumn="1" w:lastColumn="0" w:noHBand="0" w:noVBand="1"/>
      </w:tblPr>
      <w:tblGrid>
        <w:gridCol w:w="8505"/>
      </w:tblGrid>
      <w:tr w:rsidR="00AF44BF" w:rsidRPr="00AF44BF" w:rsidTr="006E74B7">
        <w:tc>
          <w:tcPr>
            <w:tcW w:w="8505" w:type="dxa"/>
          </w:tcPr>
          <w:p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492355">
        <w:rPr>
          <w:rFonts w:ascii="Franklin Gothic Medium" w:hAnsi="Franklin Gothic Medium"/>
          <w:sz w:val="24"/>
          <w:szCs w:val="24"/>
        </w:rPr>
        <w:t>Αθήνα,</w:t>
      </w:r>
      <w:r w:rsidR="00492355">
        <w:rPr>
          <w:rFonts w:ascii="Franklin Gothic Medium" w:hAnsi="Franklin Gothic Medium"/>
          <w:sz w:val="24"/>
          <w:szCs w:val="24"/>
        </w:rPr>
        <w:t xml:space="preserve"> </w:t>
      </w:r>
      <w:r w:rsidR="005469D4">
        <w:rPr>
          <w:rFonts w:ascii="Franklin Gothic Medium" w:hAnsi="Franklin Gothic Medium"/>
          <w:sz w:val="24"/>
          <w:szCs w:val="24"/>
        </w:rPr>
        <w:t>1</w:t>
      </w:r>
      <w:r w:rsidR="009C2BB2">
        <w:rPr>
          <w:rFonts w:ascii="Franklin Gothic Medium" w:hAnsi="Franklin Gothic Medium"/>
          <w:sz w:val="24"/>
          <w:szCs w:val="24"/>
          <w:lang w:val="en-US"/>
        </w:rPr>
        <w:t>8</w:t>
      </w:r>
      <w:r w:rsidR="00492355">
        <w:rPr>
          <w:rFonts w:ascii="Franklin Gothic Medium" w:hAnsi="Franklin Gothic Medium"/>
          <w:sz w:val="24"/>
          <w:szCs w:val="24"/>
        </w:rPr>
        <w:t xml:space="preserve"> Δεκεμβρίου </w:t>
      </w:r>
      <w:r w:rsidRPr="00492355">
        <w:rPr>
          <w:rFonts w:ascii="Franklin Gothic Medium" w:hAnsi="Franklin Gothic Medium"/>
          <w:sz w:val="24"/>
          <w:szCs w:val="24"/>
        </w:rPr>
        <w:t>202</w:t>
      </w:r>
      <w:r w:rsidR="00132B1E" w:rsidRPr="00492355">
        <w:rPr>
          <w:rFonts w:ascii="Franklin Gothic Medium" w:hAnsi="Franklin Gothic Medium"/>
          <w:sz w:val="24"/>
          <w:szCs w:val="24"/>
        </w:rPr>
        <w:t>5</w:t>
      </w:r>
    </w:p>
    <w:p w:rsidR="00AF44BF" w:rsidRPr="009320A8" w:rsidRDefault="00AF44BF" w:rsidP="00AF44BF">
      <w:pPr>
        <w:spacing w:line="276" w:lineRule="auto"/>
        <w:jc w:val="both"/>
        <w:rPr>
          <w:rFonts w:ascii="Franklin Gothic Medium" w:hAnsi="Franklin Gothic Medium"/>
          <w:b/>
          <w:sz w:val="28"/>
          <w:szCs w:val="28"/>
        </w:rPr>
      </w:pPr>
    </w:p>
    <w:p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rsidR="00655029" w:rsidRDefault="002949AE" w:rsidP="002949AE">
      <w:pPr>
        <w:spacing w:before="120" w:after="120"/>
        <w:jc w:val="center"/>
        <w:rPr>
          <w:rFonts w:ascii="Franklin Gothic Medium" w:hAnsi="Franklin Gothic Medium" w:cstheme="minorBidi"/>
          <w:b/>
          <w:bCs/>
          <w:sz w:val="28"/>
          <w:szCs w:val="28"/>
        </w:rPr>
      </w:pPr>
      <w:r w:rsidRPr="002949AE">
        <w:rPr>
          <w:rFonts w:ascii="Franklin Gothic Medium" w:hAnsi="Franklin Gothic Medium" w:cstheme="minorBidi"/>
          <w:b/>
          <w:bCs/>
          <w:sz w:val="28"/>
          <w:szCs w:val="28"/>
        </w:rPr>
        <w:t xml:space="preserve">ΑΑΔΕ: </w:t>
      </w:r>
      <w:r w:rsidR="007C69F2">
        <w:rPr>
          <w:rFonts w:ascii="Franklin Gothic Medium" w:hAnsi="Franklin Gothic Medium" w:cstheme="minorBidi"/>
          <w:b/>
          <w:bCs/>
          <w:sz w:val="28"/>
          <w:szCs w:val="28"/>
        </w:rPr>
        <w:t xml:space="preserve">ΔΕΟΣ - </w:t>
      </w:r>
      <w:r w:rsidR="007C69F2" w:rsidRPr="007C69F2">
        <w:rPr>
          <w:rFonts w:ascii="Franklin Gothic Medium" w:hAnsi="Franklin Gothic Medium" w:cstheme="minorBidi"/>
          <w:b/>
          <w:bCs/>
          <w:sz w:val="28"/>
          <w:szCs w:val="28"/>
        </w:rPr>
        <w:t>Ενιαίος ελεγκτικός μηχανισμός</w:t>
      </w:r>
      <w:r w:rsidR="007C69F2">
        <w:rPr>
          <w:rFonts w:ascii="Franklin Gothic Medium" w:hAnsi="Franklin Gothic Medium" w:cstheme="minorBidi"/>
          <w:b/>
          <w:bCs/>
          <w:sz w:val="28"/>
          <w:szCs w:val="28"/>
        </w:rPr>
        <w:t xml:space="preserve"> για την </w:t>
      </w:r>
      <w:r w:rsidRPr="002949AE">
        <w:rPr>
          <w:rFonts w:ascii="Franklin Gothic Medium" w:hAnsi="Franklin Gothic Medium" w:cstheme="minorBidi"/>
          <w:b/>
          <w:bCs/>
          <w:sz w:val="28"/>
          <w:szCs w:val="28"/>
        </w:rPr>
        <w:t>αντιμετώπιση του οικονομικού εγκλήματος</w:t>
      </w:r>
    </w:p>
    <w:p w:rsidR="002949AE" w:rsidRPr="00655029" w:rsidRDefault="002949AE" w:rsidP="002949AE">
      <w:pPr>
        <w:spacing w:before="120" w:after="120"/>
        <w:jc w:val="center"/>
        <w:rPr>
          <w:rFonts w:ascii="Franklin Gothic Medium" w:hAnsi="Franklin Gothic Medium" w:cstheme="minorBidi"/>
          <w:bCs/>
          <w:sz w:val="24"/>
          <w:szCs w:val="24"/>
        </w:rPr>
      </w:pPr>
    </w:p>
    <w:p w:rsidR="00855A0F" w:rsidRDefault="00855A0F" w:rsidP="00D419B3">
      <w:pPr>
        <w:spacing w:before="120" w:after="120" w:line="276" w:lineRule="auto"/>
        <w:jc w:val="both"/>
        <w:rPr>
          <w:rFonts w:ascii="Franklin Gothic Medium" w:hAnsi="Franklin Gothic Medium" w:cstheme="minorBidi"/>
          <w:bCs/>
          <w:sz w:val="24"/>
          <w:szCs w:val="24"/>
        </w:rPr>
      </w:pPr>
      <w:r w:rsidRPr="00855A0F">
        <w:rPr>
          <w:rFonts w:ascii="Franklin Gothic Medium" w:hAnsi="Franklin Gothic Medium" w:cstheme="minorBidi"/>
          <w:bCs/>
          <w:sz w:val="24"/>
          <w:szCs w:val="24"/>
        </w:rPr>
        <w:t>Στη δημιουργία της Γενικής Διεύθυνσης Δυνάμεων Ελέγχου Οικονομικών Συναλλαγών (ΓΔ ΔΕΟΣ) προχωρά η Ανεξάρτητη Αρχή Δημοσίων Εσόδων, ενισχύοντας και ενοποιώντας τους ελεγκτικούς της μηχανισμούς για την αντιμετώπιση του οικονομικού εγκλήματος.</w:t>
      </w:r>
    </w:p>
    <w:p w:rsidR="002949AE" w:rsidRPr="002949AE" w:rsidRDefault="002949AE" w:rsidP="002949AE">
      <w:pPr>
        <w:spacing w:before="120" w:after="120" w:line="276" w:lineRule="auto"/>
        <w:jc w:val="both"/>
        <w:rPr>
          <w:rFonts w:ascii="Franklin Gothic Medium" w:hAnsi="Franklin Gothic Medium" w:cstheme="minorBidi"/>
          <w:bCs/>
          <w:sz w:val="24"/>
          <w:szCs w:val="24"/>
        </w:rPr>
      </w:pPr>
      <w:r w:rsidRPr="002949AE">
        <w:rPr>
          <w:rFonts w:ascii="Franklin Gothic Medium" w:hAnsi="Franklin Gothic Medium" w:cstheme="minorBidi"/>
          <w:bCs/>
          <w:sz w:val="24"/>
          <w:szCs w:val="24"/>
        </w:rPr>
        <w:t>Η νέα Γενική Διεύθυνση αποτελεί έναν ενιαίο, ισχυρό και ευέλικτο επιχειρ</w:t>
      </w:r>
      <w:bookmarkStart w:id="0" w:name="_GoBack"/>
      <w:bookmarkEnd w:id="0"/>
      <w:r w:rsidRPr="002949AE">
        <w:rPr>
          <w:rFonts w:ascii="Franklin Gothic Medium" w:hAnsi="Franklin Gothic Medium" w:cstheme="minorBidi"/>
          <w:bCs/>
          <w:sz w:val="24"/>
          <w:szCs w:val="24"/>
        </w:rPr>
        <w:t xml:space="preserve">ησιακό μηχανισμό με πανελλαδική εμβέλεια, ο οποίος ενοποιεί κρίσιμες ελεγκτικές δυνάμεις που έως σήμερα λειτουργούσαν σε διαφορετικές οργανωτικές δομές. Μέσα από τη συγκέντρωση πόρων και αρμοδιοτήτων, καθώς και την αξιοποίηση της </w:t>
      </w:r>
      <w:proofErr w:type="spellStart"/>
      <w:r w:rsidRPr="002949AE">
        <w:rPr>
          <w:rFonts w:ascii="Franklin Gothic Medium" w:hAnsi="Franklin Gothic Medium" w:cstheme="minorBidi"/>
          <w:bCs/>
          <w:sz w:val="24"/>
          <w:szCs w:val="24"/>
        </w:rPr>
        <w:t>ψηφιοποίησης</w:t>
      </w:r>
      <w:proofErr w:type="spellEnd"/>
      <w:r w:rsidRPr="002949AE">
        <w:rPr>
          <w:rFonts w:ascii="Franklin Gothic Medium" w:hAnsi="Franklin Gothic Medium" w:cstheme="minorBidi"/>
          <w:bCs/>
          <w:sz w:val="24"/>
          <w:szCs w:val="24"/>
        </w:rPr>
        <w:t xml:space="preserve"> των διαδικασιών και των σύγχρονων </w:t>
      </w:r>
      <w:r w:rsidR="007C69F2">
        <w:rPr>
          <w:rFonts w:ascii="Franklin Gothic Medium" w:hAnsi="Franklin Gothic Medium" w:cstheme="minorBidi"/>
          <w:bCs/>
          <w:sz w:val="24"/>
          <w:szCs w:val="24"/>
        </w:rPr>
        <w:t>τεχνολογικών μέσων</w:t>
      </w:r>
      <w:r w:rsidRPr="002949AE">
        <w:rPr>
          <w:rFonts w:ascii="Franklin Gothic Medium" w:hAnsi="Franklin Gothic Medium" w:cstheme="minorBidi"/>
          <w:bCs/>
          <w:sz w:val="24"/>
          <w:szCs w:val="24"/>
        </w:rPr>
        <w:t>, ενισχύεται ο συντονισμός των υπηρεσιών και επιτυγχάνεται ταχύτερη και πιο αποτελεσματική επιχειρησιακή ανταπόκριση.</w:t>
      </w:r>
    </w:p>
    <w:p w:rsidR="002949AE" w:rsidRDefault="002949AE" w:rsidP="002949AE">
      <w:pPr>
        <w:spacing w:before="120" w:after="120" w:line="276" w:lineRule="auto"/>
        <w:jc w:val="both"/>
        <w:rPr>
          <w:rFonts w:ascii="Franklin Gothic Medium" w:hAnsi="Franklin Gothic Medium" w:cstheme="minorBidi"/>
          <w:bCs/>
          <w:sz w:val="24"/>
          <w:szCs w:val="24"/>
        </w:rPr>
      </w:pPr>
      <w:r w:rsidRPr="002949AE">
        <w:rPr>
          <w:rFonts w:ascii="Franklin Gothic Medium" w:hAnsi="Franklin Gothic Medium" w:cstheme="minorBidi"/>
          <w:bCs/>
          <w:sz w:val="24"/>
          <w:szCs w:val="24"/>
        </w:rPr>
        <w:t xml:space="preserve">Σε αυτό το ενιαίο πλαίσιο λειτουργίας, η ΓΔ ΔΕΟΣ αναλαμβάνει τον σχεδιασμό, τον συντονισμό και την υλοποίηση σύνθετων και </w:t>
      </w:r>
      <w:proofErr w:type="spellStart"/>
      <w:r w:rsidRPr="002949AE">
        <w:rPr>
          <w:rFonts w:ascii="Franklin Gothic Medium" w:hAnsi="Franklin Gothic Medium" w:cstheme="minorBidi"/>
          <w:bCs/>
          <w:sz w:val="24"/>
          <w:szCs w:val="24"/>
        </w:rPr>
        <w:t>στοχευμένων</w:t>
      </w:r>
      <w:proofErr w:type="spellEnd"/>
      <w:r w:rsidRPr="002949AE">
        <w:rPr>
          <w:rFonts w:ascii="Franklin Gothic Medium" w:hAnsi="Franklin Gothic Medium" w:cstheme="minorBidi"/>
          <w:bCs/>
          <w:sz w:val="24"/>
          <w:szCs w:val="24"/>
        </w:rPr>
        <w:t xml:space="preserve"> ελέγχων για την αντιμετώπιση της φοροδιαφυγής, του λαθρεμπορίου, της απάτης και της διαφθοράς. Με βάση την ανάλυση κινδύνου και τη δράση εξειδικευμένου ανθρώπινου δυναμικού, παρεμβαίνει οργανωμένα και αποφασιστικά στους τομείς όπου εντοπίζονται αυξημένα φαινόμενα παραβατικότητας.</w:t>
      </w:r>
    </w:p>
    <w:p w:rsidR="00B51304" w:rsidRDefault="00EC2CB5" w:rsidP="00A06390">
      <w:pPr>
        <w:spacing w:before="120" w:after="120" w:line="276" w:lineRule="auto"/>
        <w:jc w:val="both"/>
        <w:rPr>
          <w:rFonts w:ascii="Franklin Gothic Medium" w:hAnsi="Franklin Gothic Medium" w:cstheme="minorBidi"/>
          <w:bCs/>
          <w:sz w:val="24"/>
          <w:szCs w:val="24"/>
        </w:rPr>
      </w:pPr>
      <w:r w:rsidRPr="00EC2CB5">
        <w:rPr>
          <w:rFonts w:ascii="Franklin Gothic Medium" w:hAnsi="Franklin Gothic Medium" w:cstheme="minorBidi"/>
          <w:bCs/>
          <w:sz w:val="24"/>
          <w:szCs w:val="24"/>
        </w:rPr>
        <w:t>Η νέα Γενική Διεύθυνση προκύπτει από τη μετεξέλιξη της μέχρι σήμερα Γενικής Διεύθυνσης του Σώματος Δίωξης Οικονομικού Εγκλήματο</w:t>
      </w:r>
      <w:r>
        <w:rPr>
          <w:rFonts w:ascii="Franklin Gothic Medium" w:hAnsi="Franklin Gothic Medium" w:cstheme="minorBidi"/>
          <w:bCs/>
          <w:sz w:val="24"/>
          <w:szCs w:val="24"/>
        </w:rPr>
        <w:t>ς (</w:t>
      </w:r>
      <w:r w:rsidRPr="00EC2CB5">
        <w:rPr>
          <w:rFonts w:ascii="Franklin Gothic Medium" w:hAnsi="Franklin Gothic Medium" w:cstheme="minorBidi"/>
          <w:bCs/>
          <w:sz w:val="24"/>
          <w:szCs w:val="24"/>
        </w:rPr>
        <w:t>ΓΔΣΔΟΕ</w:t>
      </w:r>
      <w:r>
        <w:rPr>
          <w:rFonts w:ascii="Franklin Gothic Medium" w:hAnsi="Franklin Gothic Medium" w:cstheme="minorBidi"/>
          <w:bCs/>
          <w:sz w:val="24"/>
          <w:szCs w:val="24"/>
        </w:rPr>
        <w:t>)</w:t>
      </w:r>
      <w:r w:rsidRPr="00EC2CB5">
        <w:rPr>
          <w:rFonts w:ascii="Franklin Gothic Medium" w:hAnsi="Franklin Gothic Medium" w:cstheme="minorBidi"/>
          <w:bCs/>
          <w:sz w:val="24"/>
          <w:szCs w:val="24"/>
        </w:rPr>
        <w:t xml:space="preserve"> και ενισχύεται </w:t>
      </w:r>
      <w:r w:rsidR="002949AE" w:rsidRPr="002949AE">
        <w:rPr>
          <w:rFonts w:ascii="Franklin Gothic Medium" w:hAnsi="Franklin Gothic Medium" w:cstheme="minorBidi"/>
          <w:bCs/>
          <w:sz w:val="24"/>
          <w:szCs w:val="24"/>
        </w:rPr>
        <w:t>σημαντικά</w:t>
      </w:r>
      <w:r w:rsidR="002949AE">
        <w:rPr>
          <w:rFonts w:ascii="Franklin Gothic Medium" w:hAnsi="Franklin Gothic Medium" w:cstheme="minorBidi"/>
          <w:bCs/>
          <w:sz w:val="24"/>
          <w:szCs w:val="24"/>
        </w:rPr>
        <w:t xml:space="preserve"> </w:t>
      </w:r>
      <w:r w:rsidRPr="00EC2CB5">
        <w:rPr>
          <w:rFonts w:ascii="Franklin Gothic Medium" w:hAnsi="Franklin Gothic Medium" w:cstheme="minorBidi"/>
          <w:bCs/>
          <w:sz w:val="24"/>
          <w:szCs w:val="24"/>
        </w:rPr>
        <w:t xml:space="preserve">με τη μεταφορά σε αυτή ελεγκτικών μονάδων </w:t>
      </w:r>
      <w:r w:rsidR="002949AE">
        <w:rPr>
          <w:rFonts w:ascii="Franklin Gothic Medium" w:hAnsi="Franklin Gothic Medium" w:cstheme="minorBidi"/>
          <w:bCs/>
          <w:sz w:val="24"/>
          <w:szCs w:val="24"/>
        </w:rPr>
        <w:t>α</w:t>
      </w:r>
      <w:r w:rsidR="002949AE" w:rsidRPr="002949AE">
        <w:rPr>
          <w:rFonts w:ascii="Franklin Gothic Medium" w:hAnsi="Franklin Gothic Medium" w:cstheme="minorBidi"/>
          <w:bCs/>
          <w:sz w:val="24"/>
          <w:szCs w:val="24"/>
        </w:rPr>
        <w:t>πό τη Γενική Διεύθυνση Φορολογικών Λειτουργιών (ΓΔΦΛ) και τη Γενική Διεύθυνση Τελωνείων και Ειδικών Φόρων Κατανάλωσης (ΓΔΤ &amp; ΕΦΚ), όπως αποτυπώνεται στον ακόλουθο πίνακα:</w:t>
      </w:r>
    </w:p>
    <w:p w:rsidR="002949AE" w:rsidRDefault="002949AE" w:rsidP="00A06390">
      <w:pPr>
        <w:spacing w:before="120" w:after="120" w:line="276" w:lineRule="auto"/>
        <w:jc w:val="both"/>
        <w:rPr>
          <w:rFonts w:ascii="Franklin Gothic Medium" w:hAnsi="Franklin Gothic Medium" w:cstheme="minorBidi"/>
          <w:bCs/>
          <w:sz w:val="24"/>
          <w:szCs w:val="24"/>
        </w:rPr>
      </w:pPr>
    </w:p>
    <w:p w:rsidR="007C69F2" w:rsidRDefault="007C69F2" w:rsidP="00A06390">
      <w:pPr>
        <w:spacing w:before="120" w:after="120" w:line="276" w:lineRule="auto"/>
        <w:jc w:val="both"/>
        <w:rPr>
          <w:rFonts w:ascii="Franklin Gothic Medium" w:hAnsi="Franklin Gothic Medium" w:cstheme="minorBidi"/>
          <w:bCs/>
          <w:sz w:val="24"/>
          <w:szCs w:val="24"/>
        </w:rPr>
      </w:pPr>
    </w:p>
    <w:p w:rsidR="002949AE" w:rsidRDefault="002949AE" w:rsidP="00A06390">
      <w:pPr>
        <w:spacing w:before="120" w:after="120" w:line="276" w:lineRule="auto"/>
        <w:jc w:val="both"/>
        <w:rPr>
          <w:rFonts w:ascii="Franklin Gothic Medium" w:hAnsi="Franklin Gothic Medium" w:cstheme="minorBidi"/>
          <w:bCs/>
          <w:sz w:val="24"/>
          <w:szCs w:val="24"/>
        </w:rPr>
      </w:pPr>
    </w:p>
    <w:p w:rsidR="002949AE" w:rsidRPr="00A06390" w:rsidRDefault="002949AE" w:rsidP="00A06390">
      <w:pPr>
        <w:spacing w:before="120" w:after="120" w:line="276" w:lineRule="auto"/>
        <w:jc w:val="both"/>
        <w:rPr>
          <w:rFonts w:ascii="Franklin Gothic Medium" w:hAnsi="Franklin Gothic Medium" w:cstheme="minorBidi"/>
          <w:bCs/>
          <w:sz w:val="24"/>
          <w:szCs w:val="24"/>
        </w:rPr>
      </w:pPr>
    </w:p>
    <w:tbl>
      <w:tblPr>
        <w:tblStyle w:val="aa"/>
        <w:tblW w:w="0" w:type="auto"/>
        <w:tblLook w:val="04A0" w:firstRow="1" w:lastRow="0" w:firstColumn="1" w:lastColumn="0" w:noHBand="0" w:noVBand="1"/>
      </w:tblPr>
      <w:tblGrid>
        <w:gridCol w:w="1980"/>
        <w:gridCol w:w="2977"/>
        <w:gridCol w:w="3339"/>
      </w:tblGrid>
      <w:tr w:rsidR="00F63D6A" w:rsidTr="00352EAA">
        <w:tc>
          <w:tcPr>
            <w:tcW w:w="1980" w:type="dxa"/>
          </w:tcPr>
          <w:p w:rsidR="00F63D6A" w:rsidRPr="005837B0" w:rsidRDefault="00F63D6A" w:rsidP="00657EB9">
            <w:pPr>
              <w:spacing w:before="120" w:after="120" w:line="276" w:lineRule="auto"/>
              <w:jc w:val="center"/>
              <w:rPr>
                <w:rFonts w:ascii="Franklin Gothic Medium" w:hAnsi="Franklin Gothic Medium" w:cstheme="minorBidi"/>
                <w:b/>
                <w:bCs/>
                <w:sz w:val="24"/>
                <w:szCs w:val="24"/>
              </w:rPr>
            </w:pPr>
            <w:r w:rsidRPr="005837B0">
              <w:rPr>
                <w:rFonts w:ascii="Franklin Gothic Medium" w:hAnsi="Franklin Gothic Medium" w:cstheme="minorBidi"/>
                <w:b/>
                <w:bCs/>
                <w:sz w:val="24"/>
                <w:szCs w:val="24"/>
              </w:rPr>
              <w:lastRenderedPageBreak/>
              <w:t>Προέλευση</w:t>
            </w:r>
          </w:p>
        </w:tc>
        <w:tc>
          <w:tcPr>
            <w:tcW w:w="2977" w:type="dxa"/>
          </w:tcPr>
          <w:p w:rsidR="00F63D6A" w:rsidRPr="005837B0" w:rsidRDefault="00F63D6A" w:rsidP="00657EB9">
            <w:pPr>
              <w:spacing w:before="120" w:after="120" w:line="276" w:lineRule="auto"/>
              <w:jc w:val="center"/>
              <w:rPr>
                <w:rFonts w:ascii="Franklin Gothic Medium" w:hAnsi="Franklin Gothic Medium" w:cstheme="minorBidi"/>
                <w:b/>
                <w:bCs/>
                <w:sz w:val="24"/>
                <w:szCs w:val="24"/>
              </w:rPr>
            </w:pPr>
            <w:r w:rsidRPr="005837B0">
              <w:rPr>
                <w:rFonts w:ascii="Franklin Gothic Medium" w:hAnsi="Franklin Gothic Medium" w:cstheme="minorBidi"/>
                <w:b/>
                <w:bCs/>
                <w:sz w:val="24"/>
                <w:szCs w:val="24"/>
              </w:rPr>
              <w:t>Υπηρεσία</w:t>
            </w:r>
          </w:p>
        </w:tc>
        <w:tc>
          <w:tcPr>
            <w:tcW w:w="3339" w:type="dxa"/>
          </w:tcPr>
          <w:p w:rsidR="00F63D6A" w:rsidRPr="005837B0" w:rsidRDefault="00F63D6A" w:rsidP="00657EB9">
            <w:pPr>
              <w:spacing w:before="120" w:after="120" w:line="276" w:lineRule="auto"/>
              <w:jc w:val="center"/>
              <w:rPr>
                <w:rFonts w:ascii="Franklin Gothic Medium" w:hAnsi="Franklin Gothic Medium" w:cstheme="minorBidi"/>
                <w:b/>
                <w:bCs/>
                <w:sz w:val="24"/>
                <w:szCs w:val="24"/>
              </w:rPr>
            </w:pPr>
            <w:r w:rsidRPr="005837B0">
              <w:rPr>
                <w:rFonts w:ascii="Franklin Gothic Medium" w:hAnsi="Franklin Gothic Medium" w:cstheme="minorBidi"/>
                <w:b/>
                <w:bCs/>
                <w:sz w:val="24"/>
                <w:szCs w:val="24"/>
              </w:rPr>
              <w:t>Νέα ονομασία</w:t>
            </w:r>
            <w:r w:rsidR="00352EAA">
              <w:rPr>
                <w:rFonts w:ascii="Franklin Gothic Medium" w:hAnsi="Franklin Gothic Medium" w:cstheme="minorBidi"/>
                <w:b/>
                <w:bCs/>
                <w:sz w:val="24"/>
                <w:szCs w:val="24"/>
              </w:rPr>
              <w:t xml:space="preserve"> </w:t>
            </w:r>
            <w:r w:rsidR="00352EAA" w:rsidRPr="005837B0">
              <w:rPr>
                <w:rFonts w:ascii="Franklin Gothic Medium" w:hAnsi="Franklin Gothic Medium" w:cstheme="minorBidi"/>
                <w:b/>
                <w:bCs/>
                <w:sz w:val="24"/>
                <w:szCs w:val="24"/>
              </w:rPr>
              <w:t>ΓΔΔΕΟΣ</w:t>
            </w:r>
          </w:p>
        </w:tc>
      </w:tr>
      <w:tr w:rsidR="00F63D6A" w:rsidTr="00352EAA">
        <w:tc>
          <w:tcPr>
            <w:tcW w:w="1980" w:type="dxa"/>
          </w:tcPr>
          <w:p w:rsidR="00F63D6A" w:rsidRPr="00F63D6A" w:rsidRDefault="00F63D6A" w:rsidP="00657EB9">
            <w:pPr>
              <w:spacing w:before="120" w:after="120" w:line="276" w:lineRule="auto"/>
              <w:jc w:val="center"/>
              <w:rPr>
                <w:rFonts w:ascii="Franklin Gothic Medium" w:hAnsi="Franklin Gothic Medium" w:cstheme="minorBidi"/>
                <w:bCs/>
                <w:sz w:val="24"/>
                <w:szCs w:val="24"/>
              </w:rPr>
            </w:pPr>
            <w:r w:rsidRPr="00F63D6A">
              <w:rPr>
                <w:rFonts w:ascii="Franklin Gothic Medium" w:hAnsi="Franklin Gothic Medium" w:cstheme="minorBidi"/>
                <w:bCs/>
                <w:sz w:val="24"/>
                <w:szCs w:val="24"/>
              </w:rPr>
              <w:t>Γενική Διεύθυνση Φορολογικ</w:t>
            </w:r>
            <w:r w:rsidR="0059671B">
              <w:rPr>
                <w:rFonts w:ascii="Franklin Gothic Medium" w:hAnsi="Franklin Gothic Medium" w:cstheme="minorBidi"/>
                <w:bCs/>
                <w:sz w:val="24"/>
                <w:szCs w:val="24"/>
              </w:rPr>
              <w:t xml:space="preserve">ών </w:t>
            </w:r>
            <w:r w:rsidRPr="00F63D6A">
              <w:rPr>
                <w:rFonts w:ascii="Franklin Gothic Medium" w:hAnsi="Franklin Gothic Medium" w:cstheme="minorBidi"/>
                <w:bCs/>
                <w:sz w:val="24"/>
                <w:szCs w:val="24"/>
              </w:rPr>
              <w:t>Λειτουργ</w:t>
            </w:r>
            <w:r w:rsidR="0059671B">
              <w:rPr>
                <w:rFonts w:ascii="Franklin Gothic Medium" w:hAnsi="Franklin Gothic Medium" w:cstheme="minorBidi"/>
                <w:bCs/>
                <w:sz w:val="24"/>
                <w:szCs w:val="24"/>
              </w:rPr>
              <w:t>ιών</w:t>
            </w:r>
            <w:r w:rsidRPr="00F63D6A">
              <w:rPr>
                <w:rFonts w:ascii="Franklin Gothic Medium" w:hAnsi="Franklin Gothic Medium" w:cstheme="minorBidi"/>
                <w:bCs/>
                <w:sz w:val="24"/>
                <w:szCs w:val="24"/>
              </w:rPr>
              <w:t xml:space="preserve"> (ΓΔΦΛ)</w:t>
            </w:r>
          </w:p>
        </w:tc>
        <w:tc>
          <w:tcPr>
            <w:tcW w:w="2977" w:type="dxa"/>
          </w:tcPr>
          <w:p w:rsidR="00F63D6A"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Δ</w:t>
            </w:r>
            <w:r>
              <w:rPr>
                <w:rFonts w:ascii="Franklin Gothic Medium" w:hAnsi="Franklin Gothic Medium" w:cstheme="minorBidi"/>
                <w:bCs/>
                <w:sz w:val="24"/>
                <w:szCs w:val="24"/>
              </w:rPr>
              <w:t>ιεύθυ</w:t>
            </w:r>
            <w:r w:rsidRPr="003545E5">
              <w:rPr>
                <w:rFonts w:ascii="Franklin Gothic Medium" w:hAnsi="Franklin Gothic Medium" w:cstheme="minorBidi"/>
                <w:bCs/>
                <w:sz w:val="24"/>
                <w:szCs w:val="24"/>
              </w:rPr>
              <w:t>νση Προγραμματισμού και Αξιολόγησης Ελέγχων και Ερευνών (ΔΙΠΑΕΕ)</w:t>
            </w:r>
          </w:p>
        </w:tc>
        <w:tc>
          <w:tcPr>
            <w:tcW w:w="3339" w:type="dxa"/>
          </w:tcPr>
          <w:p w:rsidR="00F63D6A"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Διεύθυνση Προγραμματισμού και Αξιολόγησης Φορολογικών Ελέγχων και Ερευνών (ΔΙΠΑΦΕΕ)</w:t>
            </w:r>
          </w:p>
        </w:tc>
      </w:tr>
      <w:tr w:rsidR="00F63D6A" w:rsidTr="00352EAA">
        <w:tc>
          <w:tcPr>
            <w:tcW w:w="1980" w:type="dxa"/>
          </w:tcPr>
          <w:p w:rsidR="00F63D6A" w:rsidRPr="00F63D6A" w:rsidRDefault="00F63D6A" w:rsidP="00657EB9">
            <w:pPr>
              <w:spacing w:before="120" w:after="120" w:line="276" w:lineRule="auto"/>
              <w:jc w:val="center"/>
              <w:rPr>
                <w:rFonts w:ascii="Franklin Gothic Medium" w:hAnsi="Franklin Gothic Medium" w:cstheme="minorBidi"/>
                <w:bCs/>
                <w:sz w:val="24"/>
                <w:szCs w:val="24"/>
              </w:rPr>
            </w:pPr>
            <w:r w:rsidRPr="00F63D6A">
              <w:rPr>
                <w:rFonts w:ascii="Franklin Gothic Medium" w:hAnsi="Franklin Gothic Medium" w:cstheme="minorBidi"/>
                <w:bCs/>
                <w:sz w:val="24"/>
                <w:szCs w:val="24"/>
              </w:rPr>
              <w:t>Γενική Διεύθυνση Φορολογικ</w:t>
            </w:r>
            <w:r w:rsidR="0059671B">
              <w:rPr>
                <w:rFonts w:ascii="Franklin Gothic Medium" w:hAnsi="Franklin Gothic Medium" w:cstheme="minorBidi"/>
                <w:bCs/>
                <w:sz w:val="24"/>
                <w:szCs w:val="24"/>
              </w:rPr>
              <w:t xml:space="preserve">ών </w:t>
            </w:r>
            <w:r w:rsidRPr="00F63D6A">
              <w:rPr>
                <w:rFonts w:ascii="Franklin Gothic Medium" w:hAnsi="Franklin Gothic Medium" w:cstheme="minorBidi"/>
                <w:bCs/>
                <w:sz w:val="24"/>
                <w:szCs w:val="24"/>
              </w:rPr>
              <w:t>Λειτουργ</w:t>
            </w:r>
            <w:r w:rsidR="0059671B">
              <w:rPr>
                <w:rFonts w:ascii="Franklin Gothic Medium" w:hAnsi="Franklin Gothic Medium" w:cstheme="minorBidi"/>
                <w:bCs/>
                <w:sz w:val="24"/>
                <w:szCs w:val="24"/>
              </w:rPr>
              <w:t>ιών</w:t>
            </w:r>
            <w:r w:rsidRPr="00F63D6A">
              <w:rPr>
                <w:rFonts w:ascii="Franklin Gothic Medium" w:hAnsi="Franklin Gothic Medium" w:cstheme="minorBidi"/>
                <w:bCs/>
                <w:sz w:val="24"/>
                <w:szCs w:val="24"/>
              </w:rPr>
              <w:t xml:space="preserve"> (ΓΔΦΛ)</w:t>
            </w:r>
          </w:p>
        </w:tc>
        <w:tc>
          <w:tcPr>
            <w:tcW w:w="2977" w:type="dxa"/>
          </w:tcPr>
          <w:p w:rsidR="00F63D6A"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Υπηρεσίες Ερευνών και Διασφάλισης Δημοσίων Εσόδων (ΥΕΔΔΕ)</w:t>
            </w:r>
            <w:r>
              <w:rPr>
                <w:rFonts w:ascii="Franklin Gothic Medium" w:hAnsi="Franklin Gothic Medium" w:cstheme="minorBidi"/>
                <w:bCs/>
                <w:sz w:val="24"/>
                <w:szCs w:val="24"/>
              </w:rPr>
              <w:t xml:space="preserve"> </w:t>
            </w:r>
            <w:r w:rsidRPr="003545E5">
              <w:rPr>
                <w:rFonts w:ascii="Franklin Gothic Medium" w:hAnsi="Franklin Gothic Medium" w:cstheme="minorBidi"/>
                <w:bCs/>
                <w:sz w:val="24"/>
                <w:szCs w:val="24"/>
              </w:rPr>
              <w:t>Αττικής, Θεσσαλονίκης, Πάτρας και Ηρακλείου</w:t>
            </w:r>
          </w:p>
        </w:tc>
        <w:tc>
          <w:tcPr>
            <w:tcW w:w="3339" w:type="dxa"/>
          </w:tcPr>
          <w:p w:rsidR="00F63D6A"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Μονάδες Ειδικών Φορολογικών Ελέγχων (ΜΕΦΕΛ)</w:t>
            </w:r>
            <w:r w:rsidR="00352EAA">
              <w:rPr>
                <w:rFonts w:ascii="Franklin Gothic Medium" w:hAnsi="Franklin Gothic Medium" w:cstheme="minorBidi"/>
                <w:bCs/>
                <w:sz w:val="24"/>
                <w:szCs w:val="24"/>
              </w:rPr>
              <w:t xml:space="preserve"> Αττικής, Θεσσαλονίκης, Πάτρας και Ηρακλείου</w:t>
            </w:r>
          </w:p>
        </w:tc>
      </w:tr>
      <w:tr w:rsidR="00F63D6A" w:rsidTr="00352EAA">
        <w:tc>
          <w:tcPr>
            <w:tcW w:w="1980" w:type="dxa"/>
          </w:tcPr>
          <w:p w:rsidR="00F63D6A" w:rsidRPr="00F63D6A" w:rsidRDefault="00F63D6A" w:rsidP="00657EB9">
            <w:pPr>
              <w:spacing w:before="120" w:after="120" w:line="276" w:lineRule="auto"/>
              <w:jc w:val="center"/>
              <w:rPr>
                <w:rFonts w:ascii="Franklin Gothic Medium" w:hAnsi="Franklin Gothic Medium" w:cstheme="minorBidi"/>
                <w:bCs/>
                <w:sz w:val="24"/>
                <w:szCs w:val="24"/>
              </w:rPr>
            </w:pPr>
            <w:r w:rsidRPr="00F63D6A">
              <w:rPr>
                <w:rFonts w:ascii="Franklin Gothic Medium" w:hAnsi="Franklin Gothic Medium" w:cstheme="minorBidi"/>
                <w:bCs/>
                <w:sz w:val="24"/>
                <w:szCs w:val="24"/>
              </w:rPr>
              <w:t>Γενική Διεύθυνση Τελωνείων και Ειδικών Φόρων Κατανάλωσης (ΓΔΤ &amp; ΕΦΚ)</w:t>
            </w:r>
          </w:p>
        </w:tc>
        <w:tc>
          <w:tcPr>
            <w:tcW w:w="2977" w:type="dxa"/>
          </w:tcPr>
          <w:p w:rsidR="00F63D6A"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Επιτελική Υπηρεσία Τελωνειακών Ελέγχων (ΕΥΤΕ)</w:t>
            </w:r>
            <w:r>
              <w:rPr>
                <w:rFonts w:ascii="Franklin Gothic Medium" w:hAnsi="Franklin Gothic Medium" w:cstheme="minorBidi"/>
                <w:bCs/>
                <w:sz w:val="24"/>
                <w:szCs w:val="24"/>
              </w:rPr>
              <w:t xml:space="preserve"> </w:t>
            </w:r>
            <w:r w:rsidR="00452B80">
              <w:rPr>
                <w:rFonts w:ascii="Franklin Gothic Medium" w:hAnsi="Franklin Gothic Medium" w:cstheme="minorBidi"/>
                <w:bCs/>
                <w:sz w:val="24"/>
                <w:szCs w:val="24"/>
              </w:rPr>
              <w:t xml:space="preserve">πλην του </w:t>
            </w:r>
            <w:r w:rsidRPr="003545E5">
              <w:rPr>
                <w:rFonts w:ascii="Franklin Gothic Medium" w:hAnsi="Franklin Gothic Medium" w:cstheme="minorBidi"/>
                <w:bCs/>
                <w:sz w:val="24"/>
                <w:szCs w:val="24"/>
              </w:rPr>
              <w:t>Τμήμα</w:t>
            </w:r>
            <w:r w:rsidR="00452B80">
              <w:rPr>
                <w:rFonts w:ascii="Franklin Gothic Medium" w:hAnsi="Franklin Gothic Medium" w:cstheme="minorBidi"/>
                <w:bCs/>
                <w:sz w:val="24"/>
                <w:szCs w:val="24"/>
              </w:rPr>
              <w:t>τος</w:t>
            </w:r>
            <w:r w:rsidRPr="003545E5">
              <w:rPr>
                <w:rFonts w:ascii="Franklin Gothic Medium" w:hAnsi="Franklin Gothic Medium" w:cstheme="minorBidi"/>
                <w:bCs/>
                <w:sz w:val="24"/>
                <w:szCs w:val="24"/>
              </w:rPr>
              <w:t xml:space="preserve"> Δ΄ – Κεντρικού Επιχειρησιακού Θαλάμου (ΚΕΘΑ)</w:t>
            </w:r>
            <w:r w:rsidR="00452B80">
              <w:rPr>
                <w:rFonts w:ascii="Franklin Gothic Medium" w:hAnsi="Franklin Gothic Medium" w:cstheme="minorBidi"/>
                <w:bCs/>
                <w:sz w:val="24"/>
                <w:szCs w:val="24"/>
              </w:rPr>
              <w:t xml:space="preserve"> αυτής</w:t>
            </w:r>
          </w:p>
        </w:tc>
        <w:tc>
          <w:tcPr>
            <w:tcW w:w="3339" w:type="dxa"/>
          </w:tcPr>
          <w:p w:rsidR="00F63D6A"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 xml:space="preserve">Διεύθυνση Προγραμματισμού και Αξιολόγησης Τελωνειακών Ελέγχων και Ερευνών (ΔΙΠΑΤΕΕ) </w:t>
            </w:r>
          </w:p>
        </w:tc>
      </w:tr>
      <w:tr w:rsidR="00452B80" w:rsidTr="00352EAA">
        <w:tc>
          <w:tcPr>
            <w:tcW w:w="1980" w:type="dxa"/>
          </w:tcPr>
          <w:p w:rsidR="00452B80" w:rsidRPr="00F63D6A" w:rsidRDefault="00452B80" w:rsidP="00657EB9">
            <w:pPr>
              <w:spacing w:before="120" w:after="120" w:line="276" w:lineRule="auto"/>
              <w:jc w:val="center"/>
              <w:rPr>
                <w:rFonts w:ascii="Franklin Gothic Medium" w:hAnsi="Franklin Gothic Medium" w:cstheme="minorBidi"/>
                <w:bCs/>
                <w:sz w:val="24"/>
                <w:szCs w:val="24"/>
              </w:rPr>
            </w:pPr>
            <w:r w:rsidRPr="00F63D6A">
              <w:rPr>
                <w:rFonts w:ascii="Franklin Gothic Medium" w:hAnsi="Franklin Gothic Medium" w:cstheme="minorBidi"/>
                <w:bCs/>
                <w:sz w:val="24"/>
                <w:szCs w:val="24"/>
              </w:rPr>
              <w:t>Γενική Διεύθυνση Τελωνείων και Ειδικών Φόρων Κατανάλωσης (ΓΔΤ &amp; ΕΦΚ</w:t>
            </w:r>
          </w:p>
        </w:tc>
        <w:tc>
          <w:tcPr>
            <w:tcW w:w="2977" w:type="dxa"/>
          </w:tcPr>
          <w:p w:rsidR="00452B80" w:rsidRPr="003545E5" w:rsidRDefault="00452B80"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Τμήμα Δ΄ – Κεντρικού Επιχειρησιακού Θαλάμου (ΚΕΘΑ)</w:t>
            </w:r>
            <w:r>
              <w:rPr>
                <w:rFonts w:ascii="Franklin Gothic Medium" w:hAnsi="Franklin Gothic Medium" w:cstheme="minorBidi"/>
                <w:bCs/>
                <w:sz w:val="24"/>
                <w:szCs w:val="24"/>
              </w:rPr>
              <w:t xml:space="preserve"> της ΕΥΤΕ</w:t>
            </w:r>
          </w:p>
        </w:tc>
        <w:tc>
          <w:tcPr>
            <w:tcW w:w="3339" w:type="dxa"/>
          </w:tcPr>
          <w:p w:rsidR="00452B80" w:rsidRPr="003545E5" w:rsidRDefault="00452B80" w:rsidP="00657EB9">
            <w:pPr>
              <w:spacing w:before="120" w:after="120" w:line="276" w:lineRule="auto"/>
              <w:jc w:val="center"/>
              <w:rPr>
                <w:rFonts w:ascii="Franklin Gothic Medium" w:hAnsi="Franklin Gothic Medium" w:cstheme="minorBidi"/>
                <w:bCs/>
                <w:sz w:val="24"/>
                <w:szCs w:val="24"/>
              </w:rPr>
            </w:pPr>
            <w:r>
              <w:rPr>
                <w:rFonts w:ascii="Franklin Gothic Medium" w:hAnsi="Franklin Gothic Medium" w:cstheme="minorBidi"/>
                <w:bCs/>
                <w:sz w:val="24"/>
                <w:szCs w:val="24"/>
              </w:rPr>
              <w:t xml:space="preserve">Αυτοτελές </w:t>
            </w:r>
            <w:r w:rsidRPr="003545E5">
              <w:rPr>
                <w:rFonts w:ascii="Franklin Gothic Medium" w:hAnsi="Franklin Gothic Medium" w:cstheme="minorBidi"/>
                <w:bCs/>
                <w:sz w:val="24"/>
                <w:szCs w:val="24"/>
              </w:rPr>
              <w:t>Τμήμα  Κεντρικού Επιχειρησιακού Θαλάμου (ΚΕΘΑ)</w:t>
            </w:r>
            <w:r>
              <w:rPr>
                <w:rFonts w:ascii="Franklin Gothic Medium" w:hAnsi="Franklin Gothic Medium" w:cstheme="minorBidi"/>
                <w:bCs/>
                <w:sz w:val="24"/>
                <w:szCs w:val="24"/>
              </w:rPr>
              <w:t>, υπαγόμενο απευθείας στον Προϊστάμενο της ΓΔ ΔΕΟΣ</w:t>
            </w:r>
          </w:p>
        </w:tc>
      </w:tr>
      <w:tr w:rsidR="00F63D6A" w:rsidTr="00352EAA">
        <w:tc>
          <w:tcPr>
            <w:tcW w:w="1980" w:type="dxa"/>
          </w:tcPr>
          <w:p w:rsidR="00F63D6A" w:rsidRPr="00F63D6A" w:rsidRDefault="00F63D6A" w:rsidP="00657EB9">
            <w:pPr>
              <w:spacing w:before="120" w:after="120" w:line="276" w:lineRule="auto"/>
              <w:jc w:val="center"/>
              <w:rPr>
                <w:rFonts w:ascii="Franklin Gothic Medium" w:hAnsi="Franklin Gothic Medium" w:cstheme="minorBidi"/>
                <w:bCs/>
                <w:sz w:val="24"/>
                <w:szCs w:val="24"/>
              </w:rPr>
            </w:pPr>
            <w:r w:rsidRPr="00F63D6A">
              <w:rPr>
                <w:rFonts w:ascii="Franklin Gothic Medium" w:hAnsi="Franklin Gothic Medium" w:cstheme="minorBidi"/>
                <w:bCs/>
                <w:sz w:val="24"/>
                <w:szCs w:val="24"/>
              </w:rPr>
              <w:t>Γενική Διεύθυνση Τελωνείων και Ειδικών Φόρων Κατανάλωσης (ΓΔΤ &amp; ΕΦΚ)</w:t>
            </w:r>
          </w:p>
        </w:tc>
        <w:tc>
          <w:tcPr>
            <w:tcW w:w="2977" w:type="dxa"/>
          </w:tcPr>
          <w:p w:rsidR="00F63D6A"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Ελεγκτικές Υπηρεσίες Τελωνείων (ΕΛΥΤ) Αττικής και Θεσσαλονίκης</w:t>
            </w:r>
          </w:p>
        </w:tc>
        <w:tc>
          <w:tcPr>
            <w:tcW w:w="3339" w:type="dxa"/>
          </w:tcPr>
          <w:p w:rsidR="00F63D6A" w:rsidRPr="00ED0354"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Μονάδες Ειδικών Τελωνειακών Ελέγχων (ΜΕΤΕΛ)</w:t>
            </w:r>
            <w:r w:rsidRPr="0009655E">
              <w:rPr>
                <w:rFonts w:ascii="Franklin Gothic Medium" w:hAnsi="Franklin Gothic Medium" w:cstheme="minorBidi"/>
                <w:bCs/>
                <w:sz w:val="24"/>
                <w:szCs w:val="24"/>
              </w:rPr>
              <w:t xml:space="preserve"> Αττικής και Θεσσαλονίκης</w:t>
            </w:r>
          </w:p>
          <w:p w:rsidR="00F63D6A" w:rsidRDefault="00F63D6A" w:rsidP="00657EB9">
            <w:pPr>
              <w:spacing w:before="120" w:after="120" w:line="276" w:lineRule="auto"/>
              <w:jc w:val="center"/>
              <w:rPr>
                <w:rFonts w:ascii="Franklin Gothic Medium" w:hAnsi="Franklin Gothic Medium" w:cstheme="minorBidi"/>
                <w:bCs/>
                <w:sz w:val="24"/>
                <w:szCs w:val="24"/>
              </w:rPr>
            </w:pPr>
          </w:p>
        </w:tc>
      </w:tr>
      <w:tr w:rsidR="00F63D6A" w:rsidTr="00352EAA">
        <w:tc>
          <w:tcPr>
            <w:tcW w:w="1980" w:type="dxa"/>
          </w:tcPr>
          <w:p w:rsidR="00F63D6A" w:rsidRPr="003545E5" w:rsidRDefault="007E09DA" w:rsidP="00657EB9">
            <w:pPr>
              <w:spacing w:before="120" w:after="120" w:line="276" w:lineRule="auto"/>
              <w:jc w:val="center"/>
              <w:rPr>
                <w:rFonts w:ascii="Franklin Gothic Medium" w:hAnsi="Franklin Gothic Medium" w:cstheme="minorBidi"/>
                <w:bCs/>
                <w:sz w:val="24"/>
                <w:szCs w:val="24"/>
              </w:rPr>
            </w:pPr>
            <w:r>
              <w:rPr>
                <w:rFonts w:ascii="Franklin Gothic Medium" w:hAnsi="Franklin Gothic Medium" w:cstheme="minorBidi"/>
                <w:bCs/>
                <w:sz w:val="24"/>
                <w:szCs w:val="24"/>
              </w:rPr>
              <w:t>Γενική Διεύθυνση του Σώματος Δίωξης Οικονομικού Εγκλήματος (</w:t>
            </w:r>
            <w:r w:rsidR="00F63D6A">
              <w:rPr>
                <w:rFonts w:ascii="Franklin Gothic Medium" w:hAnsi="Franklin Gothic Medium" w:cstheme="minorBidi"/>
                <w:bCs/>
                <w:sz w:val="24"/>
                <w:szCs w:val="24"/>
              </w:rPr>
              <w:t>ΓΔΣΔΟΕ</w:t>
            </w:r>
            <w:r>
              <w:rPr>
                <w:rFonts w:ascii="Franklin Gothic Medium" w:hAnsi="Franklin Gothic Medium" w:cstheme="minorBidi"/>
                <w:bCs/>
                <w:sz w:val="24"/>
                <w:szCs w:val="24"/>
              </w:rPr>
              <w:t>)</w:t>
            </w:r>
          </w:p>
        </w:tc>
        <w:tc>
          <w:tcPr>
            <w:tcW w:w="2977" w:type="dxa"/>
          </w:tcPr>
          <w:p w:rsidR="00F63D6A"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Διεύθυνση Στρατηγικού Σχεδιασμού και Προγραμματισμού Ερευνών</w:t>
            </w:r>
          </w:p>
        </w:tc>
        <w:tc>
          <w:tcPr>
            <w:tcW w:w="3339" w:type="dxa"/>
          </w:tcPr>
          <w:p w:rsidR="00F63D6A"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Διεύθυνση Προγραμματισμού Ελέγχων Οικονομικού Εγκλήματος (ΔΙΠΕΟΕ)</w:t>
            </w:r>
          </w:p>
        </w:tc>
      </w:tr>
      <w:tr w:rsidR="00F63D6A" w:rsidTr="00352EAA">
        <w:tc>
          <w:tcPr>
            <w:tcW w:w="1980" w:type="dxa"/>
          </w:tcPr>
          <w:p w:rsidR="00F63D6A" w:rsidRPr="003545E5" w:rsidRDefault="007E09DA" w:rsidP="00657EB9">
            <w:pPr>
              <w:spacing w:before="120" w:after="120" w:line="276" w:lineRule="auto"/>
              <w:jc w:val="center"/>
              <w:rPr>
                <w:rFonts w:ascii="Franklin Gothic Medium" w:hAnsi="Franklin Gothic Medium" w:cstheme="minorBidi"/>
                <w:bCs/>
                <w:sz w:val="24"/>
                <w:szCs w:val="24"/>
              </w:rPr>
            </w:pPr>
            <w:r>
              <w:rPr>
                <w:rFonts w:ascii="Franklin Gothic Medium" w:hAnsi="Franklin Gothic Medium" w:cstheme="minorBidi"/>
                <w:bCs/>
                <w:sz w:val="24"/>
                <w:szCs w:val="24"/>
              </w:rPr>
              <w:t>Γενική Διεύθυνση του Σώματος Δίωξης Οικονομικού Εγκλήματος (</w:t>
            </w:r>
            <w:r w:rsidR="00F63D6A">
              <w:rPr>
                <w:rFonts w:ascii="Franklin Gothic Medium" w:hAnsi="Franklin Gothic Medium" w:cstheme="minorBidi"/>
                <w:bCs/>
                <w:sz w:val="24"/>
                <w:szCs w:val="24"/>
              </w:rPr>
              <w:t>ΓΔΣΔΟΕ</w:t>
            </w:r>
            <w:r>
              <w:rPr>
                <w:rFonts w:ascii="Franklin Gothic Medium" w:hAnsi="Franklin Gothic Medium" w:cstheme="minorBidi"/>
                <w:bCs/>
                <w:sz w:val="24"/>
                <w:szCs w:val="24"/>
              </w:rPr>
              <w:t>)</w:t>
            </w:r>
          </w:p>
        </w:tc>
        <w:tc>
          <w:tcPr>
            <w:tcW w:w="2977" w:type="dxa"/>
          </w:tcPr>
          <w:p w:rsidR="00F63D6A"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Επιχειρησιακές Διευθύνσεις ΣΔΟΕ Αττικής και Μακεδονίας</w:t>
            </w:r>
          </w:p>
        </w:tc>
        <w:tc>
          <w:tcPr>
            <w:tcW w:w="3339" w:type="dxa"/>
          </w:tcPr>
          <w:p w:rsidR="00F63D6A" w:rsidRDefault="00F63D6A" w:rsidP="00657EB9">
            <w:pPr>
              <w:spacing w:before="120" w:after="120" w:line="276" w:lineRule="auto"/>
              <w:jc w:val="center"/>
              <w:rPr>
                <w:rFonts w:ascii="Franklin Gothic Medium" w:hAnsi="Franklin Gothic Medium" w:cstheme="minorBidi"/>
                <w:bCs/>
                <w:sz w:val="24"/>
                <w:szCs w:val="24"/>
              </w:rPr>
            </w:pPr>
            <w:r w:rsidRPr="003545E5">
              <w:rPr>
                <w:rFonts w:ascii="Franklin Gothic Medium" w:hAnsi="Franklin Gothic Medium" w:cstheme="minorBidi"/>
                <w:bCs/>
                <w:sz w:val="24"/>
                <w:szCs w:val="24"/>
              </w:rPr>
              <w:t>Μονάδες Ειδικών Οικονομικών Ελέγχων (ΜΕΟΕΛ) Αττικής και Μακεδονίας</w:t>
            </w:r>
          </w:p>
        </w:tc>
      </w:tr>
    </w:tbl>
    <w:p w:rsidR="00ED0354" w:rsidRPr="00F63D6A" w:rsidRDefault="00ED0354" w:rsidP="00F63D6A">
      <w:pPr>
        <w:spacing w:before="120" w:after="120"/>
        <w:jc w:val="both"/>
        <w:rPr>
          <w:rFonts w:ascii="Franklin Gothic Medium" w:hAnsi="Franklin Gothic Medium" w:cstheme="minorBidi"/>
          <w:bCs/>
          <w:sz w:val="24"/>
          <w:szCs w:val="24"/>
        </w:rPr>
      </w:pPr>
    </w:p>
    <w:p w:rsidR="003545E5" w:rsidRDefault="00EC2CB5" w:rsidP="00AD1CDC">
      <w:pPr>
        <w:spacing w:before="120" w:after="120" w:line="276" w:lineRule="auto"/>
        <w:jc w:val="both"/>
        <w:rPr>
          <w:rFonts w:ascii="Franklin Gothic Medium" w:hAnsi="Franklin Gothic Medium" w:cstheme="minorBidi"/>
          <w:bCs/>
          <w:sz w:val="24"/>
          <w:szCs w:val="24"/>
        </w:rPr>
      </w:pPr>
      <w:r w:rsidRPr="00EC2CB5">
        <w:rPr>
          <w:rFonts w:ascii="Franklin Gothic Medium" w:hAnsi="Franklin Gothic Medium" w:cstheme="minorBidi"/>
          <w:bCs/>
          <w:sz w:val="24"/>
          <w:szCs w:val="24"/>
        </w:rPr>
        <w:t xml:space="preserve">Η Ανεξάρτητη Αρχή Δημοσίων Εσόδων συνεχίζει με συνέπεια την εφαρμογή ενός </w:t>
      </w:r>
      <w:r w:rsidR="002949AE" w:rsidRPr="00EC2CB5">
        <w:rPr>
          <w:rFonts w:ascii="Franklin Gothic Medium" w:hAnsi="Franklin Gothic Medium" w:cstheme="minorBidi"/>
          <w:bCs/>
          <w:sz w:val="24"/>
          <w:szCs w:val="24"/>
        </w:rPr>
        <w:t xml:space="preserve">σύγχρονου </w:t>
      </w:r>
      <w:r w:rsidRPr="00EC2CB5">
        <w:rPr>
          <w:rFonts w:ascii="Franklin Gothic Medium" w:hAnsi="Franklin Gothic Medium" w:cstheme="minorBidi"/>
          <w:bCs/>
          <w:sz w:val="24"/>
          <w:szCs w:val="24"/>
        </w:rPr>
        <w:t xml:space="preserve">και </w:t>
      </w:r>
      <w:r w:rsidR="002949AE" w:rsidRPr="00EC2CB5">
        <w:rPr>
          <w:rFonts w:ascii="Franklin Gothic Medium" w:hAnsi="Franklin Gothic Medium" w:cstheme="minorBidi"/>
          <w:bCs/>
          <w:sz w:val="24"/>
          <w:szCs w:val="24"/>
        </w:rPr>
        <w:t xml:space="preserve">ολοκληρωμένου </w:t>
      </w:r>
      <w:r w:rsidRPr="00EC2CB5">
        <w:rPr>
          <w:rFonts w:ascii="Franklin Gothic Medium" w:hAnsi="Franklin Gothic Medium" w:cstheme="minorBidi"/>
          <w:bCs/>
          <w:sz w:val="24"/>
          <w:szCs w:val="24"/>
        </w:rPr>
        <w:t xml:space="preserve">πλαισίου </w:t>
      </w:r>
      <w:r w:rsidR="002949AE">
        <w:rPr>
          <w:rFonts w:ascii="Franklin Gothic Medium" w:hAnsi="Franklin Gothic Medium" w:cstheme="minorBidi"/>
          <w:bCs/>
          <w:sz w:val="24"/>
          <w:szCs w:val="24"/>
        </w:rPr>
        <w:t>ελέγχων</w:t>
      </w:r>
      <w:r>
        <w:rPr>
          <w:rFonts w:ascii="Franklin Gothic Medium" w:hAnsi="Franklin Gothic Medium" w:cstheme="minorBidi"/>
          <w:bCs/>
          <w:sz w:val="24"/>
          <w:szCs w:val="24"/>
        </w:rPr>
        <w:t xml:space="preserve"> </w:t>
      </w:r>
      <w:r w:rsidR="00EE5274" w:rsidRPr="0009655E">
        <w:rPr>
          <w:rFonts w:ascii="Franklin Gothic Medium" w:hAnsi="Franklin Gothic Medium" w:cstheme="minorBidi"/>
          <w:bCs/>
          <w:sz w:val="24"/>
          <w:szCs w:val="24"/>
        </w:rPr>
        <w:t>προς όφελος της εθνικής οικονομίας</w:t>
      </w:r>
      <w:r w:rsidR="008F53B9">
        <w:rPr>
          <w:rFonts w:ascii="Franklin Gothic Medium" w:hAnsi="Franklin Gothic Medium" w:cstheme="minorBidi"/>
          <w:bCs/>
          <w:sz w:val="24"/>
          <w:szCs w:val="24"/>
        </w:rPr>
        <w:t xml:space="preserve"> και</w:t>
      </w:r>
      <w:r w:rsidR="00EE5274" w:rsidRPr="0009655E">
        <w:rPr>
          <w:rFonts w:ascii="Franklin Gothic Medium" w:hAnsi="Franklin Gothic Medium" w:cstheme="minorBidi"/>
          <w:bCs/>
          <w:sz w:val="24"/>
          <w:szCs w:val="24"/>
        </w:rPr>
        <w:t xml:space="preserve"> του κοινωνικού συνόλου</w:t>
      </w:r>
      <w:r w:rsidR="008F53B9">
        <w:rPr>
          <w:rFonts w:ascii="Franklin Gothic Medium" w:hAnsi="Franklin Gothic Medium" w:cstheme="minorBidi"/>
          <w:bCs/>
          <w:sz w:val="24"/>
          <w:szCs w:val="24"/>
        </w:rPr>
        <w:t>.</w:t>
      </w:r>
    </w:p>
    <w:p w:rsidR="004B6659" w:rsidRDefault="00501CE4" w:rsidP="00AD1CDC">
      <w:pPr>
        <w:spacing w:before="120" w:after="120" w:line="276" w:lineRule="auto"/>
        <w:jc w:val="both"/>
        <w:rPr>
          <w:rFonts w:ascii="Franklin Gothic Medium" w:hAnsi="Franklin Gothic Medium" w:cstheme="minorBidi"/>
          <w:bCs/>
          <w:sz w:val="24"/>
          <w:szCs w:val="24"/>
        </w:rPr>
      </w:pPr>
      <w:r>
        <w:rPr>
          <w:rFonts w:ascii="Franklin Gothic Medium" w:hAnsi="Franklin Gothic Medium" w:cstheme="minorBidi"/>
          <w:bCs/>
          <w:sz w:val="24"/>
          <w:szCs w:val="24"/>
        </w:rPr>
        <w:t xml:space="preserve"> </w:t>
      </w:r>
    </w:p>
    <w:sectPr w:rsidR="004B6659"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6C4A"/>
    <w:multiLevelType w:val="multilevel"/>
    <w:tmpl w:val="617A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EE081C"/>
    <w:multiLevelType w:val="multilevel"/>
    <w:tmpl w:val="71B4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5139CB"/>
    <w:multiLevelType w:val="hybridMultilevel"/>
    <w:tmpl w:val="E55810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6195F01"/>
    <w:multiLevelType w:val="multilevel"/>
    <w:tmpl w:val="01A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4070C4"/>
    <w:multiLevelType w:val="multilevel"/>
    <w:tmpl w:val="C17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2616DD0"/>
    <w:multiLevelType w:val="hybridMultilevel"/>
    <w:tmpl w:val="3D0C4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2393F"/>
    <w:multiLevelType w:val="hybridMultilevel"/>
    <w:tmpl w:val="A454B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B2D72CF"/>
    <w:multiLevelType w:val="multilevel"/>
    <w:tmpl w:val="68620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1B03580"/>
    <w:multiLevelType w:val="multilevel"/>
    <w:tmpl w:val="63F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E5550"/>
    <w:multiLevelType w:val="multilevel"/>
    <w:tmpl w:val="55B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24448A6"/>
    <w:multiLevelType w:val="hybridMultilevel"/>
    <w:tmpl w:val="FE048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28460D8"/>
    <w:multiLevelType w:val="hybridMultilevel"/>
    <w:tmpl w:val="0BEE0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81F5CC9"/>
    <w:multiLevelType w:val="hybridMultilevel"/>
    <w:tmpl w:val="A2B8D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C1E427E"/>
    <w:multiLevelType w:val="hybridMultilevel"/>
    <w:tmpl w:val="2CA2A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3BF3463"/>
    <w:multiLevelType w:val="hybridMultilevel"/>
    <w:tmpl w:val="0C7651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8"/>
  </w:num>
  <w:num w:numId="8">
    <w:abstractNumId w:val="32"/>
  </w:num>
  <w:num w:numId="9">
    <w:abstractNumId w:val="25"/>
  </w:num>
  <w:num w:numId="10">
    <w:abstractNumId w:val="10"/>
  </w:num>
  <w:num w:numId="11">
    <w:abstractNumId w:val="31"/>
  </w:num>
  <w:num w:numId="12">
    <w:abstractNumId w:val="1"/>
  </w:num>
  <w:num w:numId="13">
    <w:abstractNumId w:val="34"/>
  </w:num>
  <w:num w:numId="14">
    <w:abstractNumId w:val="4"/>
  </w:num>
  <w:num w:numId="15">
    <w:abstractNumId w:val="21"/>
  </w:num>
  <w:num w:numId="16">
    <w:abstractNumId w:val="23"/>
  </w:num>
  <w:num w:numId="17">
    <w:abstractNumId w:val="11"/>
  </w:num>
  <w:num w:numId="18">
    <w:abstractNumId w:val="16"/>
  </w:num>
  <w:num w:numId="19">
    <w:abstractNumId w:val="7"/>
  </w:num>
  <w:num w:numId="20">
    <w:abstractNumId w:val="13"/>
  </w:num>
  <w:num w:numId="21">
    <w:abstractNumId w:val="26"/>
  </w:num>
  <w:num w:numId="22">
    <w:abstractNumId w:val="14"/>
  </w:num>
  <w:num w:numId="23">
    <w:abstractNumId w:val="27"/>
  </w:num>
  <w:num w:numId="24">
    <w:abstractNumId w:val="9"/>
  </w:num>
  <w:num w:numId="25">
    <w:abstractNumId w:val="3"/>
  </w:num>
  <w:num w:numId="26">
    <w:abstractNumId w:val="0"/>
  </w:num>
  <w:num w:numId="27">
    <w:abstractNumId w:val="18"/>
  </w:num>
  <w:num w:numId="28">
    <w:abstractNumId w:val="19"/>
  </w:num>
  <w:num w:numId="29">
    <w:abstractNumId w:val="22"/>
  </w:num>
  <w:num w:numId="30">
    <w:abstractNumId w:val="15"/>
  </w:num>
  <w:num w:numId="31">
    <w:abstractNumId w:val="6"/>
  </w:num>
  <w:num w:numId="32">
    <w:abstractNumId w:val="33"/>
  </w:num>
  <w:num w:numId="33">
    <w:abstractNumId w:val="30"/>
  </w:num>
  <w:num w:numId="34">
    <w:abstractNumId w:val="12"/>
  </w:num>
  <w:num w:numId="35">
    <w:abstractNumId w:val="2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2737C"/>
    <w:rsid w:val="000319E9"/>
    <w:rsid w:val="00051E95"/>
    <w:rsid w:val="00064436"/>
    <w:rsid w:val="00070CBF"/>
    <w:rsid w:val="00071667"/>
    <w:rsid w:val="000757F8"/>
    <w:rsid w:val="00082964"/>
    <w:rsid w:val="0008580D"/>
    <w:rsid w:val="00094E92"/>
    <w:rsid w:val="0009655E"/>
    <w:rsid w:val="000A6204"/>
    <w:rsid w:val="000B3E31"/>
    <w:rsid w:val="000B5845"/>
    <w:rsid w:val="000C30D3"/>
    <w:rsid w:val="000D3ADB"/>
    <w:rsid w:val="000E0330"/>
    <w:rsid w:val="000E5728"/>
    <w:rsid w:val="000F380B"/>
    <w:rsid w:val="000F6D36"/>
    <w:rsid w:val="001110CC"/>
    <w:rsid w:val="00132B1E"/>
    <w:rsid w:val="001371D4"/>
    <w:rsid w:val="00150C90"/>
    <w:rsid w:val="001605E1"/>
    <w:rsid w:val="00160F1A"/>
    <w:rsid w:val="001651E8"/>
    <w:rsid w:val="001813CF"/>
    <w:rsid w:val="0018492B"/>
    <w:rsid w:val="0019625B"/>
    <w:rsid w:val="001A2054"/>
    <w:rsid w:val="001A574B"/>
    <w:rsid w:val="001C08FC"/>
    <w:rsid w:val="001D01F8"/>
    <w:rsid w:val="001D7C5A"/>
    <w:rsid w:val="001E5E03"/>
    <w:rsid w:val="001F3A88"/>
    <w:rsid w:val="001F6E93"/>
    <w:rsid w:val="00207C1F"/>
    <w:rsid w:val="00234062"/>
    <w:rsid w:val="00260D1E"/>
    <w:rsid w:val="0027049D"/>
    <w:rsid w:val="00291BFE"/>
    <w:rsid w:val="002949AE"/>
    <w:rsid w:val="002A7283"/>
    <w:rsid w:val="002A75A4"/>
    <w:rsid w:val="002A7816"/>
    <w:rsid w:val="002B4493"/>
    <w:rsid w:val="002C2847"/>
    <w:rsid w:val="002C5081"/>
    <w:rsid w:val="002D1AF1"/>
    <w:rsid w:val="002D279F"/>
    <w:rsid w:val="002D63D2"/>
    <w:rsid w:val="002E656E"/>
    <w:rsid w:val="002F2121"/>
    <w:rsid w:val="002F3A4A"/>
    <w:rsid w:val="002F5C1E"/>
    <w:rsid w:val="002F5D58"/>
    <w:rsid w:val="003004A8"/>
    <w:rsid w:val="00301206"/>
    <w:rsid w:val="00305807"/>
    <w:rsid w:val="00305FE2"/>
    <w:rsid w:val="00310A7C"/>
    <w:rsid w:val="00313EF1"/>
    <w:rsid w:val="003215DF"/>
    <w:rsid w:val="00330501"/>
    <w:rsid w:val="00352EAA"/>
    <w:rsid w:val="003545E5"/>
    <w:rsid w:val="00361DDE"/>
    <w:rsid w:val="00365C1B"/>
    <w:rsid w:val="00374802"/>
    <w:rsid w:val="00382146"/>
    <w:rsid w:val="003A0449"/>
    <w:rsid w:val="003A521E"/>
    <w:rsid w:val="003B0682"/>
    <w:rsid w:val="003B5AA6"/>
    <w:rsid w:val="003D6D06"/>
    <w:rsid w:val="003D73F4"/>
    <w:rsid w:val="003F1885"/>
    <w:rsid w:val="003F546A"/>
    <w:rsid w:val="00402CE3"/>
    <w:rsid w:val="00417F9F"/>
    <w:rsid w:val="00423DF6"/>
    <w:rsid w:val="0043587D"/>
    <w:rsid w:val="00452B80"/>
    <w:rsid w:val="0048239D"/>
    <w:rsid w:val="00483F1C"/>
    <w:rsid w:val="00486AB7"/>
    <w:rsid w:val="00492355"/>
    <w:rsid w:val="00495E01"/>
    <w:rsid w:val="004B3BD7"/>
    <w:rsid w:val="004B6659"/>
    <w:rsid w:val="004B67AE"/>
    <w:rsid w:val="004D4080"/>
    <w:rsid w:val="004D55D0"/>
    <w:rsid w:val="004E3390"/>
    <w:rsid w:val="004F2C71"/>
    <w:rsid w:val="00501CE4"/>
    <w:rsid w:val="00507EDC"/>
    <w:rsid w:val="005128E4"/>
    <w:rsid w:val="00533598"/>
    <w:rsid w:val="005469D4"/>
    <w:rsid w:val="005473F0"/>
    <w:rsid w:val="00553958"/>
    <w:rsid w:val="00553E47"/>
    <w:rsid w:val="00557769"/>
    <w:rsid w:val="00564F0D"/>
    <w:rsid w:val="00566C9A"/>
    <w:rsid w:val="0057140B"/>
    <w:rsid w:val="00581E34"/>
    <w:rsid w:val="005837B0"/>
    <w:rsid w:val="00594BD3"/>
    <w:rsid w:val="0059671B"/>
    <w:rsid w:val="005A690E"/>
    <w:rsid w:val="005B0107"/>
    <w:rsid w:val="005C1547"/>
    <w:rsid w:val="005F536A"/>
    <w:rsid w:val="005F79B0"/>
    <w:rsid w:val="00602DC3"/>
    <w:rsid w:val="00623D82"/>
    <w:rsid w:val="00655029"/>
    <w:rsid w:val="00663632"/>
    <w:rsid w:val="006822E8"/>
    <w:rsid w:val="00690530"/>
    <w:rsid w:val="006A01DD"/>
    <w:rsid w:val="006B382C"/>
    <w:rsid w:val="006B7D16"/>
    <w:rsid w:val="006D214E"/>
    <w:rsid w:val="006E5EF4"/>
    <w:rsid w:val="006E74B7"/>
    <w:rsid w:val="007100C9"/>
    <w:rsid w:val="00730AA2"/>
    <w:rsid w:val="00732B5E"/>
    <w:rsid w:val="00737377"/>
    <w:rsid w:val="0074660B"/>
    <w:rsid w:val="00761B92"/>
    <w:rsid w:val="007658D5"/>
    <w:rsid w:val="007671B3"/>
    <w:rsid w:val="00775C04"/>
    <w:rsid w:val="007917B0"/>
    <w:rsid w:val="007A2D4D"/>
    <w:rsid w:val="007B3FC4"/>
    <w:rsid w:val="007C1CE9"/>
    <w:rsid w:val="007C2949"/>
    <w:rsid w:val="007C69F2"/>
    <w:rsid w:val="007E00BF"/>
    <w:rsid w:val="007E09DA"/>
    <w:rsid w:val="007E270B"/>
    <w:rsid w:val="007F29CD"/>
    <w:rsid w:val="007F4EF3"/>
    <w:rsid w:val="00813026"/>
    <w:rsid w:val="0082755B"/>
    <w:rsid w:val="0083326D"/>
    <w:rsid w:val="0085255D"/>
    <w:rsid w:val="008529E4"/>
    <w:rsid w:val="00854652"/>
    <w:rsid w:val="00855A0F"/>
    <w:rsid w:val="00886DB2"/>
    <w:rsid w:val="008942F2"/>
    <w:rsid w:val="00894FE5"/>
    <w:rsid w:val="008B4699"/>
    <w:rsid w:val="008B6F61"/>
    <w:rsid w:val="008E410A"/>
    <w:rsid w:val="008F53B9"/>
    <w:rsid w:val="009040CE"/>
    <w:rsid w:val="00906C78"/>
    <w:rsid w:val="00910BBD"/>
    <w:rsid w:val="00915C8E"/>
    <w:rsid w:val="00921BA4"/>
    <w:rsid w:val="009320A8"/>
    <w:rsid w:val="00936ABA"/>
    <w:rsid w:val="009415FD"/>
    <w:rsid w:val="00952E21"/>
    <w:rsid w:val="00953BFD"/>
    <w:rsid w:val="00963CB6"/>
    <w:rsid w:val="0097616C"/>
    <w:rsid w:val="00976A9E"/>
    <w:rsid w:val="00980CF2"/>
    <w:rsid w:val="00990A6C"/>
    <w:rsid w:val="0099105E"/>
    <w:rsid w:val="00991FA7"/>
    <w:rsid w:val="0099417C"/>
    <w:rsid w:val="009A0CB3"/>
    <w:rsid w:val="009A6261"/>
    <w:rsid w:val="009B0EBA"/>
    <w:rsid w:val="009C0395"/>
    <w:rsid w:val="009C175D"/>
    <w:rsid w:val="009C2BB2"/>
    <w:rsid w:val="009C6131"/>
    <w:rsid w:val="009D2AE8"/>
    <w:rsid w:val="009E2D42"/>
    <w:rsid w:val="009F461E"/>
    <w:rsid w:val="00A01296"/>
    <w:rsid w:val="00A02E36"/>
    <w:rsid w:val="00A03C91"/>
    <w:rsid w:val="00A06390"/>
    <w:rsid w:val="00A072B0"/>
    <w:rsid w:val="00A43BFC"/>
    <w:rsid w:val="00A441B7"/>
    <w:rsid w:val="00A465B1"/>
    <w:rsid w:val="00A6282C"/>
    <w:rsid w:val="00A74C0B"/>
    <w:rsid w:val="00A90858"/>
    <w:rsid w:val="00A935D0"/>
    <w:rsid w:val="00A94708"/>
    <w:rsid w:val="00AA069E"/>
    <w:rsid w:val="00AA6828"/>
    <w:rsid w:val="00AD1CDC"/>
    <w:rsid w:val="00AE04C5"/>
    <w:rsid w:val="00AF44BF"/>
    <w:rsid w:val="00B00AE7"/>
    <w:rsid w:val="00B01F71"/>
    <w:rsid w:val="00B02467"/>
    <w:rsid w:val="00B06BB8"/>
    <w:rsid w:val="00B33886"/>
    <w:rsid w:val="00B34607"/>
    <w:rsid w:val="00B347F0"/>
    <w:rsid w:val="00B36045"/>
    <w:rsid w:val="00B368C2"/>
    <w:rsid w:val="00B37B7A"/>
    <w:rsid w:val="00B44BFE"/>
    <w:rsid w:val="00B51304"/>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4839"/>
    <w:rsid w:val="00C155EF"/>
    <w:rsid w:val="00C20188"/>
    <w:rsid w:val="00C2608B"/>
    <w:rsid w:val="00C30F0C"/>
    <w:rsid w:val="00C31929"/>
    <w:rsid w:val="00C41BB3"/>
    <w:rsid w:val="00C43510"/>
    <w:rsid w:val="00C4448E"/>
    <w:rsid w:val="00C46B25"/>
    <w:rsid w:val="00C51CD2"/>
    <w:rsid w:val="00C57EC8"/>
    <w:rsid w:val="00C63404"/>
    <w:rsid w:val="00C736B9"/>
    <w:rsid w:val="00C77AB9"/>
    <w:rsid w:val="00C85F13"/>
    <w:rsid w:val="00C86474"/>
    <w:rsid w:val="00C87351"/>
    <w:rsid w:val="00CC4B93"/>
    <w:rsid w:val="00CC546F"/>
    <w:rsid w:val="00CD3E52"/>
    <w:rsid w:val="00CE74AB"/>
    <w:rsid w:val="00CF7DED"/>
    <w:rsid w:val="00D058FF"/>
    <w:rsid w:val="00D35822"/>
    <w:rsid w:val="00D41831"/>
    <w:rsid w:val="00D419B3"/>
    <w:rsid w:val="00D57A0A"/>
    <w:rsid w:val="00D9068B"/>
    <w:rsid w:val="00D90C1C"/>
    <w:rsid w:val="00DD1AD5"/>
    <w:rsid w:val="00DD6ECE"/>
    <w:rsid w:val="00DE2595"/>
    <w:rsid w:val="00DE4247"/>
    <w:rsid w:val="00E03100"/>
    <w:rsid w:val="00E12B84"/>
    <w:rsid w:val="00E16CE1"/>
    <w:rsid w:val="00E37A1D"/>
    <w:rsid w:val="00E4149B"/>
    <w:rsid w:val="00E51478"/>
    <w:rsid w:val="00E51F84"/>
    <w:rsid w:val="00E701C3"/>
    <w:rsid w:val="00E833D9"/>
    <w:rsid w:val="00E90B7C"/>
    <w:rsid w:val="00E91F1C"/>
    <w:rsid w:val="00E94BB8"/>
    <w:rsid w:val="00EA2FCF"/>
    <w:rsid w:val="00EC0816"/>
    <w:rsid w:val="00EC2240"/>
    <w:rsid w:val="00EC2CB5"/>
    <w:rsid w:val="00ED0354"/>
    <w:rsid w:val="00ED566C"/>
    <w:rsid w:val="00EE2F89"/>
    <w:rsid w:val="00EE3C03"/>
    <w:rsid w:val="00EE5274"/>
    <w:rsid w:val="00EE7FCE"/>
    <w:rsid w:val="00EF116B"/>
    <w:rsid w:val="00F02A11"/>
    <w:rsid w:val="00F22D6E"/>
    <w:rsid w:val="00F25194"/>
    <w:rsid w:val="00F44D70"/>
    <w:rsid w:val="00F56A9F"/>
    <w:rsid w:val="00F63D6A"/>
    <w:rsid w:val="00F72E04"/>
    <w:rsid w:val="00F73BA0"/>
    <w:rsid w:val="00F76E26"/>
    <w:rsid w:val="00F83A09"/>
    <w:rsid w:val="00F95D31"/>
    <w:rsid w:val="00FA0A5A"/>
    <w:rsid w:val="00FB16D2"/>
    <w:rsid w:val="00FB376A"/>
    <w:rsid w:val="00FC2634"/>
    <w:rsid w:val="00FC2B64"/>
    <w:rsid w:val="00FD52CB"/>
    <w:rsid w:val="00FF34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40DB"/>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paragraph" w:styleId="2">
    <w:name w:val="heading 2"/>
    <w:basedOn w:val="a"/>
    <w:next w:val="a"/>
    <w:link w:val="2Char"/>
    <w:uiPriority w:val="9"/>
    <w:semiHidden/>
    <w:unhideWhenUsed/>
    <w:qFormat/>
    <w:rsid w:val="00DE25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Char">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3"/>
    <w:uiPriority w:val="34"/>
    <w:qFormat/>
    <w:rsid w:val="00051E95"/>
    <w:rPr>
      <w:rFonts w:ascii="Calibri" w:hAnsi="Calibri" w:cs="Calibri"/>
    </w:rPr>
  </w:style>
  <w:style w:type="character" w:styleId="a6">
    <w:name w:val="annotation reference"/>
    <w:basedOn w:val="a0"/>
    <w:uiPriority w:val="99"/>
    <w:semiHidden/>
    <w:unhideWhenUsed/>
    <w:rsid w:val="00492355"/>
    <w:rPr>
      <w:sz w:val="16"/>
      <w:szCs w:val="16"/>
    </w:rPr>
  </w:style>
  <w:style w:type="paragraph" w:styleId="a7">
    <w:name w:val="annotation text"/>
    <w:basedOn w:val="a"/>
    <w:link w:val="Char2"/>
    <w:uiPriority w:val="99"/>
    <w:semiHidden/>
    <w:unhideWhenUsed/>
    <w:rsid w:val="00492355"/>
    <w:rPr>
      <w:sz w:val="20"/>
      <w:szCs w:val="20"/>
    </w:rPr>
  </w:style>
  <w:style w:type="character" w:customStyle="1" w:styleId="Char2">
    <w:name w:val="Κείμενο σχολίου Char"/>
    <w:basedOn w:val="a0"/>
    <w:link w:val="a7"/>
    <w:uiPriority w:val="99"/>
    <w:semiHidden/>
    <w:rsid w:val="00492355"/>
    <w:rPr>
      <w:rFonts w:ascii="Calibri" w:hAnsi="Calibri" w:cs="Calibri"/>
      <w:sz w:val="20"/>
      <w:szCs w:val="20"/>
    </w:rPr>
  </w:style>
  <w:style w:type="paragraph" w:styleId="a8">
    <w:name w:val="annotation subject"/>
    <w:basedOn w:val="a7"/>
    <w:next w:val="a7"/>
    <w:link w:val="Char3"/>
    <w:uiPriority w:val="99"/>
    <w:semiHidden/>
    <w:unhideWhenUsed/>
    <w:rsid w:val="00492355"/>
    <w:rPr>
      <w:b/>
      <w:bCs/>
    </w:rPr>
  </w:style>
  <w:style w:type="character" w:customStyle="1" w:styleId="Char3">
    <w:name w:val="Θέμα σχολίου Char"/>
    <w:basedOn w:val="Char2"/>
    <w:link w:val="a8"/>
    <w:uiPriority w:val="99"/>
    <w:semiHidden/>
    <w:rsid w:val="00492355"/>
    <w:rPr>
      <w:rFonts w:ascii="Calibri" w:hAnsi="Calibri" w:cs="Calibri"/>
      <w:b/>
      <w:bCs/>
      <w:sz w:val="20"/>
      <w:szCs w:val="20"/>
    </w:rPr>
  </w:style>
  <w:style w:type="character" w:customStyle="1" w:styleId="2Char">
    <w:name w:val="Επικεφαλίδα 2 Char"/>
    <w:basedOn w:val="a0"/>
    <w:link w:val="2"/>
    <w:uiPriority w:val="9"/>
    <w:semiHidden/>
    <w:rsid w:val="00DE2595"/>
    <w:rPr>
      <w:rFonts w:asciiTheme="majorHAnsi" w:eastAsiaTheme="majorEastAsia" w:hAnsiTheme="majorHAnsi" w:cstheme="majorBidi"/>
      <w:color w:val="365F91" w:themeColor="accent1" w:themeShade="BF"/>
      <w:sz w:val="26"/>
      <w:szCs w:val="26"/>
    </w:rPr>
  </w:style>
  <w:style w:type="character" w:styleId="a9">
    <w:name w:val="Unresolved Mention"/>
    <w:basedOn w:val="a0"/>
    <w:uiPriority w:val="99"/>
    <w:semiHidden/>
    <w:unhideWhenUsed/>
    <w:rsid w:val="00A90858"/>
    <w:rPr>
      <w:color w:val="605E5C"/>
      <w:shd w:val="clear" w:color="auto" w:fill="E1DFDD"/>
    </w:rPr>
  </w:style>
  <w:style w:type="table" w:styleId="aa">
    <w:name w:val="Table Grid"/>
    <w:basedOn w:val="a1"/>
    <w:uiPriority w:val="59"/>
    <w:rsid w:val="00354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9900">
      <w:bodyDiv w:val="1"/>
      <w:marLeft w:val="0"/>
      <w:marRight w:val="0"/>
      <w:marTop w:val="0"/>
      <w:marBottom w:val="0"/>
      <w:divBdr>
        <w:top w:val="none" w:sz="0" w:space="0" w:color="auto"/>
        <w:left w:val="none" w:sz="0" w:space="0" w:color="auto"/>
        <w:bottom w:val="none" w:sz="0" w:space="0" w:color="auto"/>
        <w:right w:val="none" w:sz="0" w:space="0" w:color="auto"/>
      </w:divBdr>
    </w:div>
    <w:div w:id="65878508">
      <w:bodyDiv w:val="1"/>
      <w:marLeft w:val="0"/>
      <w:marRight w:val="0"/>
      <w:marTop w:val="0"/>
      <w:marBottom w:val="0"/>
      <w:divBdr>
        <w:top w:val="none" w:sz="0" w:space="0" w:color="auto"/>
        <w:left w:val="none" w:sz="0" w:space="0" w:color="auto"/>
        <w:bottom w:val="none" w:sz="0" w:space="0" w:color="auto"/>
        <w:right w:val="none" w:sz="0" w:space="0" w:color="auto"/>
      </w:divBdr>
    </w:div>
    <w:div w:id="9439984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0894591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8538409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70873420">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992025181">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21707652">
      <w:bodyDiv w:val="1"/>
      <w:marLeft w:val="0"/>
      <w:marRight w:val="0"/>
      <w:marTop w:val="0"/>
      <w:marBottom w:val="0"/>
      <w:divBdr>
        <w:top w:val="none" w:sz="0" w:space="0" w:color="auto"/>
        <w:left w:val="none" w:sz="0" w:space="0" w:color="auto"/>
        <w:bottom w:val="none" w:sz="0" w:space="0" w:color="auto"/>
        <w:right w:val="none" w:sz="0" w:space="0" w:color="auto"/>
      </w:divBdr>
    </w:div>
    <w:div w:id="1050812350">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26007228">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475488356">
      <w:bodyDiv w:val="1"/>
      <w:marLeft w:val="0"/>
      <w:marRight w:val="0"/>
      <w:marTop w:val="0"/>
      <w:marBottom w:val="0"/>
      <w:divBdr>
        <w:top w:val="none" w:sz="0" w:space="0" w:color="auto"/>
        <w:left w:val="none" w:sz="0" w:space="0" w:color="auto"/>
        <w:bottom w:val="none" w:sz="0" w:space="0" w:color="auto"/>
        <w:right w:val="none" w:sz="0" w:space="0" w:color="auto"/>
      </w:divBdr>
    </w:div>
    <w:div w:id="1536038855">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59318850">
      <w:bodyDiv w:val="1"/>
      <w:marLeft w:val="0"/>
      <w:marRight w:val="0"/>
      <w:marTop w:val="0"/>
      <w:marBottom w:val="0"/>
      <w:divBdr>
        <w:top w:val="none" w:sz="0" w:space="0" w:color="auto"/>
        <w:left w:val="none" w:sz="0" w:space="0" w:color="auto"/>
        <w:bottom w:val="none" w:sz="0" w:space="0" w:color="auto"/>
        <w:right w:val="none" w:sz="0" w:space="0" w:color="auto"/>
      </w:divBdr>
    </w:div>
    <w:div w:id="1559635545">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672483242">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04732813">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10648267">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56390991">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99AF3-62D8-45D7-B757-E03EC50F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2889</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3</cp:revision>
  <cp:lastPrinted>2025-11-28T14:09:00Z</cp:lastPrinted>
  <dcterms:created xsi:type="dcterms:W3CDTF">2025-12-17T09:13:00Z</dcterms:created>
  <dcterms:modified xsi:type="dcterms:W3CDTF">2025-12-18T07:21:00Z</dcterms:modified>
</cp:coreProperties>
</file>