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48"/>
      </w:tblGrid>
      <w:tr w:rsidR="00DD01B2" w:rsidRPr="003947CD" w14:paraId="048128B9" w14:textId="77777777" w:rsidTr="00454345">
        <w:tc>
          <w:tcPr>
            <w:tcW w:w="4158" w:type="dxa"/>
            <w:hideMark/>
          </w:tcPr>
          <w:p w14:paraId="6AB0F8FE" w14:textId="77589F17" w:rsidR="00DD01B2" w:rsidRPr="003947CD" w:rsidRDefault="00DD01B2" w:rsidP="003947CD">
            <w:pPr>
              <w:rPr>
                <w:sz w:val="24"/>
                <w:szCs w:val="24"/>
              </w:rPr>
            </w:pPr>
            <w:bookmarkStart w:id="0" w:name="_Hlk154060878"/>
          </w:p>
        </w:tc>
        <w:tc>
          <w:tcPr>
            <w:tcW w:w="4148" w:type="dxa"/>
            <w:hideMark/>
          </w:tcPr>
          <w:p w14:paraId="224D2495" w14:textId="5B678C06" w:rsidR="00DD01B2" w:rsidRPr="003947CD" w:rsidRDefault="00DD01B2" w:rsidP="003947CD">
            <w:pPr>
              <w:tabs>
                <w:tab w:val="left" w:pos="3144"/>
              </w:tabs>
              <w:jc w:val="right"/>
              <w:rPr>
                <w:sz w:val="24"/>
                <w:szCs w:val="24"/>
              </w:rPr>
            </w:pPr>
          </w:p>
        </w:tc>
      </w:tr>
      <w:bookmarkEnd w:id="0"/>
    </w:tbl>
    <w:p w14:paraId="264FBF1C" w14:textId="66F7FAD4" w:rsidR="00574135" w:rsidRPr="003947CD" w:rsidRDefault="00574135" w:rsidP="003947CD">
      <w:pPr>
        <w:pStyle w:val="a4"/>
        <w:rPr>
          <w:b/>
          <w:bCs/>
        </w:rPr>
      </w:pPr>
    </w:p>
    <w:p w14:paraId="15BBD389" w14:textId="230CB6B0" w:rsidR="005E2FAD" w:rsidRDefault="005E2FAD" w:rsidP="003947CD">
      <w:pPr>
        <w:pStyle w:val="a4"/>
        <w:jc w:val="right"/>
        <w:rPr>
          <w:b/>
          <w:bCs/>
          <w:lang w:val="en-US"/>
        </w:rPr>
      </w:pPr>
    </w:p>
    <w:tbl>
      <w:tblPr>
        <w:tblStyle w:val="a3"/>
        <w:tblpPr w:leftFromText="180" w:rightFromText="180" w:horzAnchor="margin" w:tblpY="840"/>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2950"/>
        <w:gridCol w:w="3436"/>
      </w:tblGrid>
      <w:tr w:rsidR="006169D1" w14:paraId="4C398724" w14:textId="77777777" w:rsidTr="00BB7B1F">
        <w:tc>
          <w:tcPr>
            <w:tcW w:w="3396" w:type="dxa"/>
          </w:tcPr>
          <w:p w14:paraId="676CD945" w14:textId="2CFEBE5E" w:rsidR="00AF25E2" w:rsidRDefault="00AF25E2" w:rsidP="00BB7B1F">
            <w:pPr>
              <w:pStyle w:val="a4"/>
              <w:jc w:val="right"/>
              <w:rPr>
                <w:b/>
                <w:bCs/>
                <w:lang w:val="en-US"/>
              </w:rPr>
            </w:pPr>
          </w:p>
        </w:tc>
        <w:tc>
          <w:tcPr>
            <w:tcW w:w="2950" w:type="dxa"/>
          </w:tcPr>
          <w:p w14:paraId="55D80AA0" w14:textId="4708B1CD" w:rsidR="00AF25E2" w:rsidRDefault="00AF25E2" w:rsidP="00BB7B1F">
            <w:pPr>
              <w:pStyle w:val="a4"/>
              <w:jc w:val="right"/>
              <w:rPr>
                <w:b/>
                <w:bCs/>
                <w:lang w:val="en-US"/>
              </w:rPr>
            </w:pPr>
          </w:p>
        </w:tc>
        <w:tc>
          <w:tcPr>
            <w:tcW w:w="3436" w:type="dxa"/>
          </w:tcPr>
          <w:p w14:paraId="5C1C7ECE" w14:textId="3327AA59" w:rsidR="00AF25E2" w:rsidRDefault="00AF25E2" w:rsidP="00BB7B1F">
            <w:pPr>
              <w:pStyle w:val="a4"/>
              <w:jc w:val="right"/>
              <w:rPr>
                <w:b/>
                <w:bCs/>
                <w:lang w:val="en-US"/>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60"/>
        <w:gridCol w:w="2918"/>
      </w:tblGrid>
      <w:tr w:rsidR="00D50894" w14:paraId="23EC8947" w14:textId="77777777" w:rsidTr="00D50894">
        <w:tc>
          <w:tcPr>
            <w:tcW w:w="2664" w:type="dxa"/>
          </w:tcPr>
          <w:p w14:paraId="70A5A9BF" w14:textId="5B11D5FF" w:rsidR="00A86998" w:rsidRDefault="00A86998" w:rsidP="006169D1">
            <w:pPr>
              <w:pStyle w:val="a4"/>
              <w:rPr>
                <w:b/>
                <w:bCs/>
                <w:lang w:val="en-US"/>
              </w:rPr>
            </w:pPr>
            <w:r>
              <w:rPr>
                <w:noProof/>
                <w:lang w:eastAsia="el-GR"/>
              </w:rPr>
              <w:drawing>
                <wp:anchor distT="0" distB="0" distL="114300" distR="114300" simplePos="0" relativeHeight="251682816" behindDoc="1" locked="0" layoutInCell="1" allowOverlap="1" wp14:anchorId="564B827C" wp14:editId="004A94EA">
                  <wp:simplePos x="0" y="0"/>
                  <wp:positionH relativeFrom="margin">
                    <wp:posOffset>-65405</wp:posOffset>
                  </wp:positionH>
                  <wp:positionV relativeFrom="paragraph">
                    <wp:posOffset>241935</wp:posOffset>
                  </wp:positionV>
                  <wp:extent cx="1571625" cy="645160"/>
                  <wp:effectExtent l="0" t="0" r="9525" b="2540"/>
                  <wp:wrapTight wrapText="bothSides">
                    <wp:wrapPolygon edited="0">
                      <wp:start x="0" y="0"/>
                      <wp:lineTo x="0" y="21047"/>
                      <wp:lineTo x="21469" y="21047"/>
                      <wp:lineTo x="21469" y="0"/>
                      <wp:lineTo x="0"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rotWithShape="1">
                          <a:blip r:embed="rId8" cstate="print">
                            <a:extLst>
                              <a:ext uri="{28A0092B-C50C-407E-A947-70E740481C1C}">
                                <a14:useLocalDpi xmlns:a14="http://schemas.microsoft.com/office/drawing/2010/main" val="0"/>
                              </a:ext>
                            </a:extLst>
                          </a:blip>
                          <a:srcRect r="65686"/>
                          <a:stretch/>
                        </pic:blipFill>
                        <pic:spPr bwMode="auto">
                          <a:xfrm>
                            <a:off x="0" y="0"/>
                            <a:ext cx="1571625" cy="645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738" w:type="dxa"/>
          </w:tcPr>
          <w:p w14:paraId="67761AF6" w14:textId="26DB402A" w:rsidR="00A86998" w:rsidRDefault="00A86998" w:rsidP="00A86998">
            <w:pPr>
              <w:pStyle w:val="Web"/>
            </w:pPr>
            <w:r>
              <w:rPr>
                <w:noProof/>
              </w:rPr>
              <w:drawing>
                <wp:anchor distT="0" distB="0" distL="114300" distR="114300" simplePos="0" relativeHeight="251684864" behindDoc="1" locked="0" layoutInCell="1" allowOverlap="1" wp14:anchorId="78015DBD" wp14:editId="1CA018D6">
                  <wp:simplePos x="0" y="0"/>
                  <wp:positionH relativeFrom="column">
                    <wp:posOffset>-635</wp:posOffset>
                  </wp:positionH>
                  <wp:positionV relativeFrom="paragraph">
                    <wp:posOffset>0</wp:posOffset>
                  </wp:positionV>
                  <wp:extent cx="1668145" cy="742950"/>
                  <wp:effectExtent l="0" t="0" r="0" b="0"/>
                  <wp:wrapTight wrapText="bothSides">
                    <wp:wrapPolygon edited="0">
                      <wp:start x="9867" y="1108"/>
                      <wp:lineTo x="8633" y="3877"/>
                      <wp:lineTo x="8633" y="9415"/>
                      <wp:lineTo x="9867" y="11077"/>
                      <wp:lineTo x="1233" y="13846"/>
                      <wp:lineTo x="987" y="18831"/>
                      <wp:lineTo x="3453" y="19938"/>
                      <wp:lineTo x="20474" y="19938"/>
                      <wp:lineTo x="20720" y="15508"/>
                      <wp:lineTo x="17514" y="12738"/>
                      <wp:lineTo x="11840" y="11077"/>
                      <wp:lineTo x="13073" y="8308"/>
                      <wp:lineTo x="13073" y="5538"/>
                      <wp:lineTo x="11840" y="1108"/>
                      <wp:lineTo x="9867" y="1108"/>
                    </wp:wrapPolygon>
                  </wp:wrapTight>
                  <wp:docPr id="13" name="Εικόνα 13" descr="C:\Users\e.nati\Downloads\logo-min-d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nati\Downloads\logo-min-dig.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554" b="18523"/>
                          <a:stretch/>
                        </pic:blipFill>
                        <pic:spPr bwMode="auto">
                          <a:xfrm>
                            <a:off x="0" y="0"/>
                            <a:ext cx="1668145"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1E6E080A" w14:textId="5711EB93" w:rsidR="00A86998" w:rsidRDefault="00A86998" w:rsidP="003947CD">
            <w:pPr>
              <w:pStyle w:val="a4"/>
              <w:jc w:val="right"/>
              <w:rPr>
                <w:b/>
                <w:bCs/>
                <w:lang w:val="en-US"/>
              </w:rPr>
            </w:pPr>
          </w:p>
        </w:tc>
        <w:tc>
          <w:tcPr>
            <w:tcW w:w="2894" w:type="dxa"/>
            <w:vAlign w:val="center"/>
          </w:tcPr>
          <w:p w14:paraId="7E3720A6" w14:textId="3B7E56DE" w:rsidR="00A86998" w:rsidRDefault="00A86998" w:rsidP="00A86998">
            <w:pPr>
              <w:pStyle w:val="Web"/>
              <w:jc w:val="center"/>
              <w:rPr>
                <w:b/>
                <w:bCs/>
                <w:lang w:val="en-US"/>
              </w:rPr>
            </w:pPr>
            <w:r>
              <w:rPr>
                <w:noProof/>
              </w:rPr>
              <w:drawing>
                <wp:anchor distT="0" distB="0" distL="114300" distR="114300" simplePos="0" relativeHeight="251685888" behindDoc="1" locked="0" layoutInCell="1" allowOverlap="1" wp14:anchorId="5D2A6E16" wp14:editId="5D5F1852">
                  <wp:simplePos x="0" y="0"/>
                  <wp:positionH relativeFrom="column">
                    <wp:posOffset>-63500</wp:posOffset>
                  </wp:positionH>
                  <wp:positionV relativeFrom="paragraph">
                    <wp:posOffset>165735</wp:posOffset>
                  </wp:positionV>
                  <wp:extent cx="1762125" cy="352425"/>
                  <wp:effectExtent l="0" t="0" r="9525" b="9525"/>
                  <wp:wrapSquare wrapText="bothSides"/>
                  <wp:docPr id="14" name="Εικόνα 14" descr="C:\Users\e.nati\Downloads\logotypo_ypypme_et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e.nati\Downloads\logotypo_ypypme_eth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337" r="23593" b="-1"/>
                          <a:stretch/>
                        </pic:blipFill>
                        <pic:spPr bwMode="auto">
                          <a:xfrm>
                            <a:off x="0" y="0"/>
                            <a:ext cx="176212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50894" w14:paraId="24DFF514" w14:textId="77777777" w:rsidTr="00D50894">
        <w:tc>
          <w:tcPr>
            <w:tcW w:w="8296" w:type="dxa"/>
            <w:gridSpan w:val="3"/>
          </w:tcPr>
          <w:p w14:paraId="32CA2D89" w14:textId="69D94101" w:rsidR="00D50894" w:rsidRDefault="00D50894" w:rsidP="00A86998">
            <w:pPr>
              <w:pStyle w:val="Web"/>
            </w:pPr>
            <w:r w:rsidRPr="00AF44BF">
              <w:rPr>
                <w:rFonts w:ascii="Franklin Gothic Medium" w:hAnsi="Franklin Gothic Medium"/>
                <w:noProof/>
              </w:rPr>
              <w:drawing>
                <wp:anchor distT="0" distB="0" distL="114300" distR="114300" simplePos="0" relativeHeight="251691008" behindDoc="1" locked="0" layoutInCell="1" allowOverlap="1" wp14:anchorId="13F1DA68" wp14:editId="54C6352D">
                  <wp:simplePos x="0" y="0"/>
                  <wp:positionH relativeFrom="margin">
                    <wp:posOffset>2695575</wp:posOffset>
                  </wp:positionH>
                  <wp:positionV relativeFrom="paragraph">
                    <wp:posOffset>64770</wp:posOffset>
                  </wp:positionV>
                  <wp:extent cx="1602740" cy="553085"/>
                  <wp:effectExtent l="0" t="0" r="0" b="0"/>
                  <wp:wrapTight wrapText="bothSides">
                    <wp:wrapPolygon edited="0">
                      <wp:start x="0" y="2976"/>
                      <wp:lineTo x="0" y="20831"/>
                      <wp:lineTo x="18485" y="20831"/>
                      <wp:lineTo x="21309" y="20831"/>
                      <wp:lineTo x="21309" y="17855"/>
                      <wp:lineTo x="19512" y="16367"/>
                      <wp:lineTo x="18998" y="12648"/>
                      <wp:lineTo x="15661" y="2976"/>
                      <wp:lineTo x="0" y="2976"/>
                    </wp:wrapPolygon>
                  </wp:wrapTight>
                  <wp:docPr id="3" name="Εικόνα 3"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6052"/>
                          <a:stretch/>
                        </pic:blipFill>
                        <pic:spPr bwMode="auto">
                          <a:xfrm>
                            <a:off x="0" y="0"/>
                            <a:ext cx="1602740" cy="553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1" locked="0" layoutInCell="1" allowOverlap="1" wp14:anchorId="757E9458" wp14:editId="6B66AB18">
                  <wp:simplePos x="0" y="0"/>
                  <wp:positionH relativeFrom="column">
                    <wp:posOffset>553720</wp:posOffset>
                  </wp:positionH>
                  <wp:positionV relativeFrom="paragraph">
                    <wp:posOffset>175260</wp:posOffset>
                  </wp:positionV>
                  <wp:extent cx="1617980" cy="352425"/>
                  <wp:effectExtent l="0" t="0" r="1270" b="9525"/>
                  <wp:wrapTight wrapText="bothSides">
                    <wp:wrapPolygon edited="0">
                      <wp:start x="0" y="0"/>
                      <wp:lineTo x="0" y="21016"/>
                      <wp:lineTo x="21363" y="21016"/>
                      <wp:lineTo x="21363" y="0"/>
                      <wp:lineTo x="0" y="0"/>
                    </wp:wrapPolygon>
                  </wp:wrapTight>
                  <wp:docPr id="12" name="Εικόνα 12" descr="C:\Users\e.nati\Downloads\ΠΡΟΣΤΑΣΙΑ ΠΟΛΙΤ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nati\Downloads\ΠΡΟΣΤΑΣΙΑ ΠΟΛΙΤΗ.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980" cy="352425"/>
                          </a:xfrm>
                          <a:prstGeom prst="rect">
                            <a:avLst/>
                          </a:prstGeom>
                          <a:noFill/>
                          <a:ln>
                            <a:noFill/>
                          </a:ln>
                        </pic:spPr>
                      </pic:pic>
                    </a:graphicData>
                  </a:graphic>
                </wp:anchor>
              </w:drawing>
            </w:r>
          </w:p>
          <w:p w14:paraId="5337F5DD" w14:textId="3525A438" w:rsidR="00D50894" w:rsidRDefault="00D50894" w:rsidP="003947CD">
            <w:pPr>
              <w:pStyle w:val="a4"/>
              <w:jc w:val="right"/>
              <w:rPr>
                <w:b/>
                <w:bCs/>
                <w:lang w:val="en-US"/>
              </w:rPr>
            </w:pPr>
          </w:p>
        </w:tc>
      </w:tr>
    </w:tbl>
    <w:p w14:paraId="402F963C" w14:textId="5495B44F" w:rsidR="00AF25E2" w:rsidRDefault="00AF25E2" w:rsidP="003947CD">
      <w:pPr>
        <w:pStyle w:val="a4"/>
        <w:jc w:val="right"/>
        <w:rPr>
          <w:b/>
          <w:bCs/>
          <w:lang w:val="en-US"/>
        </w:rPr>
      </w:pPr>
    </w:p>
    <w:p w14:paraId="7812F549" w14:textId="56706843" w:rsidR="002C6D64" w:rsidRPr="003947CD" w:rsidRDefault="00676C01" w:rsidP="003947CD">
      <w:pPr>
        <w:pStyle w:val="a4"/>
        <w:jc w:val="right"/>
        <w:rPr>
          <w:b/>
          <w:bCs/>
        </w:rPr>
      </w:pPr>
      <w:r>
        <w:rPr>
          <w:b/>
          <w:bCs/>
        </w:rPr>
        <w:t>Τρίτη,</w:t>
      </w:r>
      <w:r w:rsidR="002C6D64" w:rsidRPr="003947CD">
        <w:rPr>
          <w:b/>
          <w:bCs/>
        </w:rPr>
        <w:t xml:space="preserve"> </w:t>
      </w:r>
      <w:r>
        <w:rPr>
          <w:b/>
          <w:bCs/>
        </w:rPr>
        <w:t xml:space="preserve">4 </w:t>
      </w:r>
      <w:r w:rsidR="00782619">
        <w:rPr>
          <w:b/>
          <w:bCs/>
        </w:rPr>
        <w:t xml:space="preserve">Νοεμβρίου </w:t>
      </w:r>
      <w:r w:rsidR="002C6D64" w:rsidRPr="003947CD">
        <w:rPr>
          <w:b/>
          <w:bCs/>
        </w:rPr>
        <w:t xml:space="preserve">2025 </w:t>
      </w:r>
    </w:p>
    <w:p w14:paraId="5484C522" w14:textId="594C1063" w:rsidR="00AE2B1D" w:rsidRPr="003947CD" w:rsidRDefault="00AE2B1D" w:rsidP="003947CD">
      <w:pPr>
        <w:pStyle w:val="a4"/>
        <w:rPr>
          <w:rFonts w:eastAsia="Times New Roman"/>
          <w:b/>
          <w:bCs/>
          <w:lang w:eastAsia="el-GR"/>
        </w:rPr>
      </w:pPr>
    </w:p>
    <w:p w14:paraId="4146EA42" w14:textId="45955739" w:rsidR="00392943" w:rsidRDefault="00392943" w:rsidP="00815935">
      <w:pPr>
        <w:pStyle w:val="a4"/>
        <w:jc w:val="center"/>
        <w:rPr>
          <w:b/>
          <w:u w:val="single"/>
        </w:rPr>
      </w:pPr>
      <w:bookmarkStart w:id="1" w:name="_Hlk148953441"/>
    </w:p>
    <w:p w14:paraId="14672B18" w14:textId="616EF505" w:rsidR="00815935" w:rsidRDefault="00BB7B1F" w:rsidP="00815935">
      <w:pPr>
        <w:pStyle w:val="a4"/>
        <w:jc w:val="center"/>
        <w:rPr>
          <w:b/>
          <w:u w:val="single"/>
        </w:rPr>
      </w:pPr>
      <w:r w:rsidRPr="00BB7B1F">
        <w:rPr>
          <w:b/>
          <w:u w:val="single"/>
        </w:rPr>
        <w:t>Κοινό Δελτίο Τύπου των Υπουργείων Εθνικής Οικονομίας και Οικονομικών, Ψηφιακής Διακυβέρνησης, Υποδομών και Μεταφορών και Προστασίας του Πολίτη και της Ανεξάρτητης Αρχής Δημοσίων Εσόδων (ΑΑΔΕ)</w:t>
      </w:r>
    </w:p>
    <w:p w14:paraId="78BAB6AD" w14:textId="77777777" w:rsidR="00BB7B1F" w:rsidRPr="00E76CE1" w:rsidRDefault="00BB7B1F" w:rsidP="00815935">
      <w:pPr>
        <w:pStyle w:val="a4"/>
        <w:jc w:val="center"/>
      </w:pPr>
      <w:bookmarkStart w:id="2" w:name="_GoBack"/>
      <w:bookmarkEnd w:id="2"/>
    </w:p>
    <w:p w14:paraId="49C14D4C" w14:textId="747230CF" w:rsidR="00815935" w:rsidRPr="00FB7425" w:rsidRDefault="00BB7B1F" w:rsidP="00815935">
      <w:pPr>
        <w:pStyle w:val="a4"/>
        <w:jc w:val="center"/>
        <w:rPr>
          <w:b/>
        </w:rPr>
      </w:pPr>
      <w:r w:rsidRPr="00BB7B1F">
        <w:rPr>
          <w:b/>
        </w:rPr>
        <w:t xml:space="preserve">Συνεχίζονται οι </w:t>
      </w:r>
      <w:proofErr w:type="spellStart"/>
      <w:r w:rsidRPr="00BB7B1F">
        <w:rPr>
          <w:b/>
        </w:rPr>
        <w:t>διασταυρωτικοί</w:t>
      </w:r>
      <w:proofErr w:type="spellEnd"/>
      <w:r w:rsidRPr="00BB7B1F">
        <w:rPr>
          <w:b/>
        </w:rPr>
        <w:t xml:space="preserve"> έλεγχοι οχημάτων – Νέα ειδοποιητήρια για ασφάλιση και τέλη κυκλοφορίας</w:t>
      </w:r>
    </w:p>
    <w:p w14:paraId="1C98D6F6" w14:textId="77777777" w:rsidR="00815935" w:rsidRDefault="00815935" w:rsidP="00815935">
      <w:pPr>
        <w:jc w:val="both"/>
        <w:rPr>
          <w:rFonts w:eastAsia="Calibri" w:cstheme="minorHAnsi"/>
          <w:sz w:val="24"/>
          <w:szCs w:val="24"/>
        </w:rPr>
      </w:pPr>
    </w:p>
    <w:bookmarkEnd w:id="1"/>
    <w:p w14:paraId="02E84779" w14:textId="77777777" w:rsidR="00BB7B1F" w:rsidRPr="00BB7B1F" w:rsidRDefault="00BB7B1F" w:rsidP="00BB7B1F">
      <w:pPr>
        <w:jc w:val="both"/>
        <w:rPr>
          <w:sz w:val="24"/>
          <w:szCs w:val="24"/>
        </w:rPr>
      </w:pPr>
      <w:r w:rsidRPr="00BB7B1F">
        <w:rPr>
          <w:sz w:val="24"/>
          <w:szCs w:val="24"/>
        </w:rPr>
        <w:t xml:space="preserve">Στο πλαίσιο των συνεχόμενων </w:t>
      </w:r>
      <w:proofErr w:type="spellStart"/>
      <w:r w:rsidRPr="00BB7B1F">
        <w:rPr>
          <w:sz w:val="24"/>
          <w:szCs w:val="24"/>
        </w:rPr>
        <w:t>διασταυρωτικών</w:t>
      </w:r>
      <w:proofErr w:type="spellEnd"/>
      <w:r w:rsidRPr="00BB7B1F">
        <w:rPr>
          <w:sz w:val="24"/>
          <w:szCs w:val="24"/>
        </w:rPr>
        <w:t xml:space="preserve"> ελέγχων που πραγματοποιούνται για τη διασφάλιση της οδικής ασφάλειας και της νόμιμης κυκλοφορίας των οχημάτων, ολοκληρώθηκε νέος κύκλος αποστολής ειδοποιητηρίων σε ιδιοκτήτες οχημάτων που είναι ανασφάλιστα ή/ και δεν έχουν καταβάλει τέλη κυκλοφορίας.</w:t>
      </w:r>
    </w:p>
    <w:p w14:paraId="240A9486" w14:textId="77777777" w:rsidR="00BB7B1F" w:rsidRPr="00BB7B1F" w:rsidRDefault="00BB7B1F" w:rsidP="00BB7B1F">
      <w:pPr>
        <w:jc w:val="both"/>
        <w:rPr>
          <w:sz w:val="24"/>
          <w:szCs w:val="24"/>
        </w:rPr>
      </w:pPr>
      <w:r w:rsidRPr="00BB7B1F">
        <w:rPr>
          <w:sz w:val="24"/>
          <w:szCs w:val="24"/>
        </w:rPr>
        <w:t>Συνολικά απεστάλησαν 187.301 ειδοποιητήρια και συγκεκριμένα:</w:t>
      </w:r>
    </w:p>
    <w:p w14:paraId="44F09F8F" w14:textId="77777777" w:rsidR="00BB7B1F" w:rsidRPr="00BB7B1F" w:rsidRDefault="00BB7B1F" w:rsidP="00BB7B1F">
      <w:pPr>
        <w:jc w:val="both"/>
        <w:rPr>
          <w:sz w:val="24"/>
          <w:szCs w:val="24"/>
        </w:rPr>
      </w:pPr>
      <w:r w:rsidRPr="00BB7B1F">
        <w:rPr>
          <w:sz w:val="24"/>
          <w:szCs w:val="24"/>
        </w:rPr>
        <w:t>α) 99.498 ειδοποιητήρια που αφορούν σε μη καταβολή τελών κυκλοφορίας του 2025 σε 80.758 φυσικά πρόσωπα και 4.452 νομικά πρόσωπα και</w:t>
      </w:r>
    </w:p>
    <w:p w14:paraId="5E25FCB3" w14:textId="77777777" w:rsidR="00BB7B1F" w:rsidRPr="00BB7B1F" w:rsidRDefault="00BB7B1F" w:rsidP="00BB7B1F">
      <w:pPr>
        <w:jc w:val="both"/>
        <w:rPr>
          <w:sz w:val="24"/>
          <w:szCs w:val="24"/>
        </w:rPr>
      </w:pPr>
      <w:r w:rsidRPr="00BB7B1F">
        <w:rPr>
          <w:sz w:val="24"/>
          <w:szCs w:val="24"/>
        </w:rPr>
        <w:t>β) 87.803 ειδοποιητήρια για μη συμμόρφωση ασφάλισης σε 71.663 φυσικά πρόσωπα και 4.139 νομικά πρόσωπα.</w:t>
      </w:r>
    </w:p>
    <w:p w14:paraId="725C515D" w14:textId="77777777" w:rsidR="00BB7B1F" w:rsidRPr="00BB7B1F" w:rsidRDefault="00BB7B1F" w:rsidP="00BB7B1F">
      <w:pPr>
        <w:jc w:val="both"/>
        <w:rPr>
          <w:sz w:val="24"/>
          <w:szCs w:val="24"/>
        </w:rPr>
      </w:pPr>
      <w:r w:rsidRPr="00BB7B1F">
        <w:rPr>
          <w:sz w:val="24"/>
          <w:szCs w:val="24"/>
        </w:rPr>
        <w:t>Εξ αυτών, 87.026 οχήματα εντοπίστηκαν χωρίς συμμόρφωση και ως προς την ασφάλιση και ως προς τα τέλη κυκλοφορίας.</w:t>
      </w:r>
    </w:p>
    <w:p w14:paraId="5AAA6408" w14:textId="77777777" w:rsidR="00BB7B1F" w:rsidRPr="00BB7B1F" w:rsidRDefault="00BB7B1F" w:rsidP="00BB7B1F">
      <w:pPr>
        <w:jc w:val="both"/>
        <w:rPr>
          <w:sz w:val="24"/>
          <w:szCs w:val="24"/>
        </w:rPr>
      </w:pPr>
      <w:r w:rsidRPr="00BB7B1F">
        <w:rPr>
          <w:sz w:val="24"/>
          <w:szCs w:val="24"/>
        </w:rPr>
        <w:t xml:space="preserve">Όπως και στην πρώτη αποστολή ειδοποιητηρίων, σκοπός είναι οι πολίτες να ενημερωθούν για τις παραλείψεις συμμόρφωσης που έχουν εντοπιστεί ώστε να συμμορφωθούν, εντός 15 ημερών. Με την παρέλευση του χρονικού αυτού διαστήματος και την ολοκλήρωση εκ νέου </w:t>
      </w:r>
      <w:proofErr w:type="spellStart"/>
      <w:r w:rsidRPr="00BB7B1F">
        <w:rPr>
          <w:sz w:val="24"/>
          <w:szCs w:val="24"/>
        </w:rPr>
        <w:t>διασταυρωτικών</w:t>
      </w:r>
      <w:proofErr w:type="spellEnd"/>
      <w:r w:rsidRPr="00BB7B1F">
        <w:rPr>
          <w:sz w:val="24"/>
          <w:szCs w:val="24"/>
        </w:rPr>
        <w:t xml:space="preserve"> ελέγχων, οι πολίτες και τα νομικά πρόσωπα, που δε συμμορφώθηκαν, θα λάβουν τις ειδοποιήσεις με τα βεβαιωμένα πρόστιμα. </w:t>
      </w:r>
    </w:p>
    <w:p w14:paraId="55CC5B80" w14:textId="77777777" w:rsidR="00BB7B1F" w:rsidRPr="00BB7B1F" w:rsidRDefault="00BB7B1F" w:rsidP="00BB7B1F">
      <w:pPr>
        <w:jc w:val="both"/>
        <w:rPr>
          <w:sz w:val="24"/>
          <w:szCs w:val="24"/>
        </w:rPr>
      </w:pPr>
      <w:r w:rsidRPr="00BB7B1F">
        <w:rPr>
          <w:sz w:val="24"/>
          <w:szCs w:val="24"/>
        </w:rPr>
        <w:lastRenderedPageBreak/>
        <w:t xml:space="preserve">Οι πολίτες και οι εκπρόσωποι των νομικών προσώπων ενημερώνονται μέσω SMS, email ή ταχυδρομείου, ανάλογα με τα διαθέσιμα στοιχεία επικοινωνίας που τηρούνται στα μητρώα του Δημοσίου. Συγκεκριμένα, οι πολίτες που έχουν καταχωρίσει στο Εθνικό Μητρώο Επικοινωνίας (emep.gov.gr) τα στοιχεία επικοινωνίας τους, θα λάβουν </w:t>
      </w:r>
      <w:proofErr w:type="spellStart"/>
      <w:r w:rsidRPr="00BB7B1F">
        <w:rPr>
          <w:sz w:val="24"/>
          <w:szCs w:val="24"/>
        </w:rPr>
        <w:t>sms</w:t>
      </w:r>
      <w:proofErr w:type="spellEnd"/>
      <w:r w:rsidRPr="00BB7B1F">
        <w:rPr>
          <w:sz w:val="24"/>
          <w:szCs w:val="24"/>
        </w:rPr>
        <w:t xml:space="preserve"> και email από τη Γενική Γραμματεία Πληροφοριακών Συστημάτων και Ψηφιακής Διακυβέρνησης, ενώ οι υπόλοιποι θα ειδοποιηθούν με email από την ΑΑΔΕ. Στις ελάχιστες περιπτώσεις που δεν είναι εφικτή η επικοινωνία με κάποιον από τους προαναφερόμενους τρόπους, θα αποστέλλονται  ειδοποιήσεις μέσω ταχυδρομείου.</w:t>
      </w:r>
    </w:p>
    <w:p w14:paraId="1BDF1A1D" w14:textId="77777777" w:rsidR="00BB7B1F" w:rsidRPr="00BB7B1F" w:rsidRDefault="00BB7B1F" w:rsidP="00BB7B1F">
      <w:pPr>
        <w:jc w:val="both"/>
        <w:rPr>
          <w:sz w:val="24"/>
          <w:szCs w:val="24"/>
        </w:rPr>
      </w:pPr>
      <w:r w:rsidRPr="00BB7B1F">
        <w:rPr>
          <w:sz w:val="24"/>
          <w:szCs w:val="24"/>
        </w:rPr>
        <w:t xml:space="preserve">Οι πολίτες, για να δουν τα ειδοποιητήρια που αφορούν τα οχήματά τους, θα πρέπει να επισκεφθούν την εφαρμογή oximata.gov.gr, χρησιμοποιώντας τους προσωπικούς κωδικούς </w:t>
      </w:r>
      <w:proofErr w:type="spellStart"/>
      <w:r w:rsidRPr="00BB7B1F">
        <w:rPr>
          <w:sz w:val="24"/>
          <w:szCs w:val="24"/>
        </w:rPr>
        <w:t>taxisnet</w:t>
      </w:r>
      <w:proofErr w:type="spellEnd"/>
      <w:r w:rsidRPr="00BB7B1F">
        <w:rPr>
          <w:sz w:val="24"/>
          <w:szCs w:val="24"/>
        </w:rPr>
        <w:t>. Μέσω της εφαρμογής, μπορούν να ενημερωθούν αναλυτικά για την κατάσταση μη συμμόρφωσης κάθε οχήματος και να προχωρήσουν στις απαιτούμενες ενέργειες.</w:t>
      </w:r>
    </w:p>
    <w:p w14:paraId="58F9917E" w14:textId="77777777" w:rsidR="00BB7B1F" w:rsidRPr="00BB7B1F" w:rsidRDefault="00BB7B1F" w:rsidP="00BB7B1F">
      <w:pPr>
        <w:jc w:val="both"/>
        <w:rPr>
          <w:sz w:val="24"/>
          <w:szCs w:val="24"/>
        </w:rPr>
      </w:pPr>
      <w:r w:rsidRPr="00BB7B1F">
        <w:rPr>
          <w:sz w:val="24"/>
          <w:szCs w:val="24"/>
        </w:rPr>
        <w:t>Οι έλεγχοι υλοποιούνται από τη Γενική Γραμματεία Πληροφοριακών Συστημάτων και Ψηφιακής Διακυβέρνησης του Υπουργείου Ψηφιακής Διακυβέρνησης, σε συνεργασία με τα Υπουργεία Εθνικής Οικονομίας και Οικονομικών, Υποδομών και Μεταφορών και Προστασίας του Πολίτη και την ΑΑΔΕ, υπό τον συντονισμό της Προεδρίας της Κυβέρνησης. Στη διαδικασία αξιοποιούνται δεδομένα από το Επικουρικό Κεφάλαιο Ασφάλισης Ευθύνης από Ατυχήματα Αυτοκινήτων και την Εναλλακτική Διαχείριση Οχημάτων Ελλάδος (ΕΔΟΕ).</w:t>
      </w:r>
    </w:p>
    <w:p w14:paraId="794F6922" w14:textId="77777777" w:rsidR="00BB7B1F" w:rsidRPr="00BB7B1F" w:rsidRDefault="00BB7B1F" w:rsidP="00BB7B1F">
      <w:pPr>
        <w:jc w:val="both"/>
        <w:rPr>
          <w:sz w:val="24"/>
          <w:szCs w:val="24"/>
        </w:rPr>
      </w:pPr>
    </w:p>
    <w:p w14:paraId="55CACBA3" w14:textId="77777777" w:rsidR="00704590" w:rsidRPr="003947CD" w:rsidRDefault="00704590" w:rsidP="00BB7B1F">
      <w:pPr>
        <w:jc w:val="both"/>
        <w:rPr>
          <w:rFonts w:ascii="Calibri" w:hAnsi="Calibri" w:cs="Calibri"/>
          <w:b/>
        </w:rPr>
      </w:pPr>
    </w:p>
    <w:sectPr w:rsidR="00704590" w:rsidRPr="003947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B89"/>
    <w:multiLevelType w:val="hybridMultilevel"/>
    <w:tmpl w:val="066CC9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B505B9"/>
    <w:multiLevelType w:val="hybridMultilevel"/>
    <w:tmpl w:val="5E345A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EE3917"/>
    <w:multiLevelType w:val="hybridMultilevel"/>
    <w:tmpl w:val="C97AE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931FEC"/>
    <w:multiLevelType w:val="hybridMultilevel"/>
    <w:tmpl w:val="D5C6C0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471366"/>
    <w:multiLevelType w:val="multilevel"/>
    <w:tmpl w:val="C1AA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B1689"/>
    <w:multiLevelType w:val="hybridMultilevel"/>
    <w:tmpl w:val="6AD007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392978"/>
    <w:multiLevelType w:val="hybridMultilevel"/>
    <w:tmpl w:val="48E4B5A2"/>
    <w:lvl w:ilvl="0" w:tplc="5F687A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587690"/>
    <w:multiLevelType w:val="multilevel"/>
    <w:tmpl w:val="6832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A0BCD"/>
    <w:multiLevelType w:val="hybridMultilevel"/>
    <w:tmpl w:val="6BE0D30C"/>
    <w:lvl w:ilvl="0" w:tplc="00D42BC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3EE3231"/>
    <w:multiLevelType w:val="multilevel"/>
    <w:tmpl w:val="75221862"/>
    <w:lvl w:ilvl="0">
      <w:start w:val="1"/>
      <w:numFmt w:val="decimal"/>
      <w:lvlText w:val="%1."/>
      <w:lvlJc w:val="left"/>
      <w:pPr>
        <w:ind w:left="356" w:hanging="356"/>
        <w:jc w:val="right"/>
      </w:pPr>
      <w:rPr>
        <w:rFonts w:ascii="Verdana" w:eastAsia="Verdana" w:hAnsi="Verdana" w:cs="Verdana" w:hint="default"/>
        <w:b/>
        <w:bCs/>
        <w:i w:val="0"/>
        <w:iCs w:val="0"/>
        <w:spacing w:val="-2"/>
        <w:w w:val="100"/>
        <w:sz w:val="22"/>
        <w:szCs w:val="22"/>
        <w:lang w:val="el-GR" w:eastAsia="en-US" w:bidi="ar-SA"/>
      </w:rPr>
    </w:lvl>
    <w:lvl w:ilvl="1">
      <w:start w:val="1"/>
      <w:numFmt w:val="decimal"/>
      <w:lvlText w:val="%1.%2."/>
      <w:lvlJc w:val="left"/>
      <w:pPr>
        <w:ind w:left="568" w:hanging="567"/>
      </w:pPr>
      <w:rPr>
        <w:rFonts w:ascii="Verdana" w:eastAsia="Verdana" w:hAnsi="Verdana" w:cs="Verdana" w:hint="default"/>
        <w:b w:val="0"/>
        <w:bCs w:val="0"/>
        <w:i w:val="0"/>
        <w:iCs w:val="0"/>
        <w:spacing w:val="-2"/>
        <w:w w:val="100"/>
        <w:sz w:val="22"/>
        <w:szCs w:val="22"/>
        <w:lang w:val="el-GR" w:eastAsia="en-US" w:bidi="ar-SA"/>
      </w:rPr>
    </w:lvl>
    <w:lvl w:ilvl="2">
      <w:numFmt w:val="bullet"/>
      <w:lvlText w:val=""/>
      <w:lvlJc w:val="left"/>
      <w:pPr>
        <w:ind w:left="541" w:hanging="363"/>
      </w:pPr>
      <w:rPr>
        <w:rFonts w:ascii="Symbol" w:eastAsia="Symbol" w:hAnsi="Symbol" w:cs="Symbol" w:hint="default"/>
        <w:spacing w:val="0"/>
        <w:w w:val="100"/>
        <w:lang w:val="el-GR" w:eastAsia="en-US" w:bidi="ar-SA"/>
      </w:rPr>
    </w:lvl>
    <w:lvl w:ilvl="3">
      <w:start w:val="1"/>
      <w:numFmt w:val="decimal"/>
      <w:lvlText w:val="(%4)"/>
      <w:lvlJc w:val="left"/>
      <w:pPr>
        <w:ind w:left="721" w:hanging="363"/>
      </w:pPr>
      <w:rPr>
        <w:rFonts w:ascii="Verdana" w:eastAsia="Verdana" w:hAnsi="Verdana" w:cs="Verdana" w:hint="default"/>
        <w:b w:val="0"/>
        <w:bCs w:val="0"/>
        <w:i w:val="0"/>
        <w:iCs w:val="0"/>
        <w:spacing w:val="-2"/>
        <w:w w:val="100"/>
        <w:sz w:val="22"/>
        <w:szCs w:val="22"/>
        <w:lang w:val="el-GR" w:eastAsia="en-US" w:bidi="ar-SA"/>
      </w:rPr>
    </w:lvl>
    <w:lvl w:ilvl="4">
      <w:numFmt w:val="bullet"/>
      <w:lvlText w:val="•"/>
      <w:lvlJc w:val="left"/>
      <w:pPr>
        <w:ind w:left="904" w:hanging="363"/>
      </w:pPr>
      <w:rPr>
        <w:rFonts w:hint="default"/>
        <w:lang w:val="el-GR" w:eastAsia="en-US" w:bidi="ar-SA"/>
      </w:rPr>
    </w:lvl>
    <w:lvl w:ilvl="5">
      <w:numFmt w:val="bullet"/>
      <w:lvlText w:val="•"/>
      <w:lvlJc w:val="left"/>
      <w:pPr>
        <w:ind w:left="2462" w:hanging="363"/>
      </w:pPr>
      <w:rPr>
        <w:rFonts w:hint="default"/>
        <w:lang w:val="el-GR" w:eastAsia="en-US" w:bidi="ar-SA"/>
      </w:rPr>
    </w:lvl>
    <w:lvl w:ilvl="6">
      <w:numFmt w:val="bullet"/>
      <w:lvlText w:val="•"/>
      <w:lvlJc w:val="left"/>
      <w:pPr>
        <w:ind w:left="4020" w:hanging="363"/>
      </w:pPr>
      <w:rPr>
        <w:rFonts w:hint="default"/>
        <w:lang w:val="el-GR" w:eastAsia="en-US" w:bidi="ar-SA"/>
      </w:rPr>
    </w:lvl>
    <w:lvl w:ilvl="7">
      <w:numFmt w:val="bullet"/>
      <w:lvlText w:val="•"/>
      <w:lvlJc w:val="left"/>
      <w:pPr>
        <w:ind w:left="5579" w:hanging="363"/>
      </w:pPr>
      <w:rPr>
        <w:rFonts w:hint="default"/>
        <w:lang w:val="el-GR" w:eastAsia="en-US" w:bidi="ar-SA"/>
      </w:rPr>
    </w:lvl>
    <w:lvl w:ilvl="8">
      <w:numFmt w:val="bullet"/>
      <w:lvlText w:val="•"/>
      <w:lvlJc w:val="left"/>
      <w:pPr>
        <w:ind w:left="7137" w:hanging="363"/>
      </w:pPr>
      <w:rPr>
        <w:rFonts w:hint="default"/>
        <w:lang w:val="el-GR" w:eastAsia="en-US" w:bidi="ar-SA"/>
      </w:rPr>
    </w:lvl>
  </w:abstractNum>
  <w:abstractNum w:abstractNumId="10"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A6830C6"/>
    <w:multiLevelType w:val="hybridMultilevel"/>
    <w:tmpl w:val="42CE2D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11"/>
  </w:num>
  <w:num w:numId="6">
    <w:abstractNumId w:val="0"/>
  </w:num>
  <w:num w:numId="7">
    <w:abstractNumId w:val="7"/>
  </w:num>
  <w:num w:numId="8">
    <w:abstractNumId w:val="2"/>
  </w:num>
  <w:num w:numId="9">
    <w:abstractNumId w:val="4"/>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B2"/>
    <w:rsid w:val="00006DE9"/>
    <w:rsid w:val="00022B11"/>
    <w:rsid w:val="00033D82"/>
    <w:rsid w:val="00041790"/>
    <w:rsid w:val="00055DC5"/>
    <w:rsid w:val="00080C81"/>
    <w:rsid w:val="000853F7"/>
    <w:rsid w:val="00093BA6"/>
    <w:rsid w:val="000A3435"/>
    <w:rsid w:val="000B1B39"/>
    <w:rsid w:val="000D1E0B"/>
    <w:rsid w:val="00107644"/>
    <w:rsid w:val="00114199"/>
    <w:rsid w:val="00140DD4"/>
    <w:rsid w:val="0015182F"/>
    <w:rsid w:val="0017445A"/>
    <w:rsid w:val="00181749"/>
    <w:rsid w:val="0018264D"/>
    <w:rsid w:val="0018457D"/>
    <w:rsid w:val="00196E82"/>
    <w:rsid w:val="001C5C12"/>
    <w:rsid w:val="001D40E4"/>
    <w:rsid w:val="001D5EC2"/>
    <w:rsid w:val="00202262"/>
    <w:rsid w:val="002073BF"/>
    <w:rsid w:val="00257204"/>
    <w:rsid w:val="00257D75"/>
    <w:rsid w:val="00260E8D"/>
    <w:rsid w:val="00262220"/>
    <w:rsid w:val="0028298B"/>
    <w:rsid w:val="00297DC2"/>
    <w:rsid w:val="002A05FA"/>
    <w:rsid w:val="002A6181"/>
    <w:rsid w:val="002B623D"/>
    <w:rsid w:val="002B7035"/>
    <w:rsid w:val="002C6D64"/>
    <w:rsid w:val="002D366E"/>
    <w:rsid w:val="002F48C6"/>
    <w:rsid w:val="002F4B4A"/>
    <w:rsid w:val="00301273"/>
    <w:rsid w:val="00305CCC"/>
    <w:rsid w:val="00312511"/>
    <w:rsid w:val="0032716B"/>
    <w:rsid w:val="00350846"/>
    <w:rsid w:val="00353F0E"/>
    <w:rsid w:val="003700B1"/>
    <w:rsid w:val="00386675"/>
    <w:rsid w:val="00392943"/>
    <w:rsid w:val="00393607"/>
    <w:rsid w:val="003947CD"/>
    <w:rsid w:val="003B1A94"/>
    <w:rsid w:val="003B29F9"/>
    <w:rsid w:val="003D2B07"/>
    <w:rsid w:val="003E6566"/>
    <w:rsid w:val="00407715"/>
    <w:rsid w:val="00435D14"/>
    <w:rsid w:val="00454345"/>
    <w:rsid w:val="0047225E"/>
    <w:rsid w:val="004804D3"/>
    <w:rsid w:val="004806AF"/>
    <w:rsid w:val="004E643B"/>
    <w:rsid w:val="004F6E49"/>
    <w:rsid w:val="00525DB3"/>
    <w:rsid w:val="005457B0"/>
    <w:rsid w:val="00553FFD"/>
    <w:rsid w:val="0057212D"/>
    <w:rsid w:val="00573D3B"/>
    <w:rsid w:val="00574135"/>
    <w:rsid w:val="005A4C68"/>
    <w:rsid w:val="005D2ED5"/>
    <w:rsid w:val="005E10C9"/>
    <w:rsid w:val="005E2FAD"/>
    <w:rsid w:val="005E5FCA"/>
    <w:rsid w:val="005E6169"/>
    <w:rsid w:val="005F0DC6"/>
    <w:rsid w:val="00603963"/>
    <w:rsid w:val="0060475C"/>
    <w:rsid w:val="00604F41"/>
    <w:rsid w:val="00605C56"/>
    <w:rsid w:val="006120E3"/>
    <w:rsid w:val="006169D1"/>
    <w:rsid w:val="00620464"/>
    <w:rsid w:val="00650355"/>
    <w:rsid w:val="00662805"/>
    <w:rsid w:val="00676C01"/>
    <w:rsid w:val="00677171"/>
    <w:rsid w:val="00680696"/>
    <w:rsid w:val="00681D9B"/>
    <w:rsid w:val="0068270D"/>
    <w:rsid w:val="00686386"/>
    <w:rsid w:val="00692939"/>
    <w:rsid w:val="00692BE1"/>
    <w:rsid w:val="00694A5D"/>
    <w:rsid w:val="006A7467"/>
    <w:rsid w:val="006D3629"/>
    <w:rsid w:val="00704289"/>
    <w:rsid w:val="007043BB"/>
    <w:rsid w:val="00704590"/>
    <w:rsid w:val="00717F91"/>
    <w:rsid w:val="00723182"/>
    <w:rsid w:val="00727CF2"/>
    <w:rsid w:val="0073555B"/>
    <w:rsid w:val="00741A3C"/>
    <w:rsid w:val="00744EA5"/>
    <w:rsid w:val="007616B6"/>
    <w:rsid w:val="00762C66"/>
    <w:rsid w:val="007736A2"/>
    <w:rsid w:val="00775AB2"/>
    <w:rsid w:val="007817D0"/>
    <w:rsid w:val="00782619"/>
    <w:rsid w:val="00787579"/>
    <w:rsid w:val="00796023"/>
    <w:rsid w:val="007E7E84"/>
    <w:rsid w:val="00802BDC"/>
    <w:rsid w:val="00803F74"/>
    <w:rsid w:val="00807484"/>
    <w:rsid w:val="008131C1"/>
    <w:rsid w:val="00815935"/>
    <w:rsid w:val="0081748C"/>
    <w:rsid w:val="00824B04"/>
    <w:rsid w:val="00833978"/>
    <w:rsid w:val="00836BC2"/>
    <w:rsid w:val="008460CA"/>
    <w:rsid w:val="008544A2"/>
    <w:rsid w:val="00862BA5"/>
    <w:rsid w:val="0089114F"/>
    <w:rsid w:val="008960DF"/>
    <w:rsid w:val="008A74E5"/>
    <w:rsid w:val="008B309E"/>
    <w:rsid w:val="008B40C4"/>
    <w:rsid w:val="008D363A"/>
    <w:rsid w:val="008F36E4"/>
    <w:rsid w:val="0095416E"/>
    <w:rsid w:val="00967734"/>
    <w:rsid w:val="00970F6E"/>
    <w:rsid w:val="009732A8"/>
    <w:rsid w:val="00974E0E"/>
    <w:rsid w:val="00975074"/>
    <w:rsid w:val="009930C3"/>
    <w:rsid w:val="0099557D"/>
    <w:rsid w:val="009A7F9E"/>
    <w:rsid w:val="009B2355"/>
    <w:rsid w:val="009B2C88"/>
    <w:rsid w:val="009B3B9A"/>
    <w:rsid w:val="009C515D"/>
    <w:rsid w:val="009F0132"/>
    <w:rsid w:val="009F508F"/>
    <w:rsid w:val="00A05886"/>
    <w:rsid w:val="00A05D57"/>
    <w:rsid w:val="00A155ED"/>
    <w:rsid w:val="00A25083"/>
    <w:rsid w:val="00A4425C"/>
    <w:rsid w:val="00A55FB2"/>
    <w:rsid w:val="00A77CD5"/>
    <w:rsid w:val="00A86998"/>
    <w:rsid w:val="00AA2390"/>
    <w:rsid w:val="00AA3801"/>
    <w:rsid w:val="00AC35E5"/>
    <w:rsid w:val="00AD4032"/>
    <w:rsid w:val="00AE2B1D"/>
    <w:rsid w:val="00AF0DC6"/>
    <w:rsid w:val="00AF252C"/>
    <w:rsid w:val="00AF25E2"/>
    <w:rsid w:val="00AF4FE3"/>
    <w:rsid w:val="00AF5D1A"/>
    <w:rsid w:val="00B25D3C"/>
    <w:rsid w:val="00B36182"/>
    <w:rsid w:val="00B66344"/>
    <w:rsid w:val="00B771D8"/>
    <w:rsid w:val="00BB7B1F"/>
    <w:rsid w:val="00BC08C9"/>
    <w:rsid w:val="00BC2E13"/>
    <w:rsid w:val="00BD7D0E"/>
    <w:rsid w:val="00BF637B"/>
    <w:rsid w:val="00C12DC7"/>
    <w:rsid w:val="00C41EF2"/>
    <w:rsid w:val="00C43BFA"/>
    <w:rsid w:val="00C51457"/>
    <w:rsid w:val="00C51E92"/>
    <w:rsid w:val="00C52A7D"/>
    <w:rsid w:val="00C66953"/>
    <w:rsid w:val="00C6767C"/>
    <w:rsid w:val="00C7484F"/>
    <w:rsid w:val="00C75CF3"/>
    <w:rsid w:val="00C85EF8"/>
    <w:rsid w:val="00C92ECF"/>
    <w:rsid w:val="00CB1487"/>
    <w:rsid w:val="00CB4629"/>
    <w:rsid w:val="00CB7AD7"/>
    <w:rsid w:val="00CE27A8"/>
    <w:rsid w:val="00CE3E6F"/>
    <w:rsid w:val="00CE5FDD"/>
    <w:rsid w:val="00CF03D6"/>
    <w:rsid w:val="00CF0804"/>
    <w:rsid w:val="00CF11E6"/>
    <w:rsid w:val="00CF291D"/>
    <w:rsid w:val="00D03091"/>
    <w:rsid w:val="00D37B3C"/>
    <w:rsid w:val="00D50894"/>
    <w:rsid w:val="00D50E95"/>
    <w:rsid w:val="00D53C51"/>
    <w:rsid w:val="00D65978"/>
    <w:rsid w:val="00D76193"/>
    <w:rsid w:val="00D77D91"/>
    <w:rsid w:val="00D80BC7"/>
    <w:rsid w:val="00D90CCA"/>
    <w:rsid w:val="00D91600"/>
    <w:rsid w:val="00D9350D"/>
    <w:rsid w:val="00D939C4"/>
    <w:rsid w:val="00D93F21"/>
    <w:rsid w:val="00D97906"/>
    <w:rsid w:val="00DA2C20"/>
    <w:rsid w:val="00DA7985"/>
    <w:rsid w:val="00DB6495"/>
    <w:rsid w:val="00DD01B2"/>
    <w:rsid w:val="00DF1B39"/>
    <w:rsid w:val="00DF54E1"/>
    <w:rsid w:val="00DF7353"/>
    <w:rsid w:val="00E0047E"/>
    <w:rsid w:val="00E1203B"/>
    <w:rsid w:val="00E12214"/>
    <w:rsid w:val="00E264DA"/>
    <w:rsid w:val="00E34ABD"/>
    <w:rsid w:val="00E35BD2"/>
    <w:rsid w:val="00E365B5"/>
    <w:rsid w:val="00E43EDB"/>
    <w:rsid w:val="00E55037"/>
    <w:rsid w:val="00E56595"/>
    <w:rsid w:val="00E66651"/>
    <w:rsid w:val="00E73155"/>
    <w:rsid w:val="00E841AC"/>
    <w:rsid w:val="00EC14E8"/>
    <w:rsid w:val="00EC1E91"/>
    <w:rsid w:val="00EC2AF3"/>
    <w:rsid w:val="00EC69B5"/>
    <w:rsid w:val="00EC7106"/>
    <w:rsid w:val="00ED2FFB"/>
    <w:rsid w:val="00EE5B9F"/>
    <w:rsid w:val="00EF0CCC"/>
    <w:rsid w:val="00F03C8A"/>
    <w:rsid w:val="00F65FCC"/>
    <w:rsid w:val="00F70EDF"/>
    <w:rsid w:val="00F72E69"/>
    <w:rsid w:val="00F83777"/>
    <w:rsid w:val="00F871B1"/>
    <w:rsid w:val="00FA15CC"/>
    <w:rsid w:val="00FB11D7"/>
    <w:rsid w:val="00FB7BC3"/>
    <w:rsid w:val="00FE1280"/>
    <w:rsid w:val="00FE5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82E4"/>
  <w15:docId w15:val="{B6430039-EBF3-4012-A60B-B52363B0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1B2"/>
  </w:style>
  <w:style w:type="paragraph" w:styleId="3">
    <w:name w:val="heading 3"/>
    <w:basedOn w:val="a"/>
    <w:link w:val="3Char"/>
    <w:uiPriority w:val="9"/>
    <w:qFormat/>
    <w:rsid w:val="009B2C8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01B2"/>
    <w:pPr>
      <w:spacing w:after="0" w:line="240" w:lineRule="auto"/>
    </w:pPr>
    <w:rPr>
      <w:kern w:val="2"/>
      <w:sz w:val="24"/>
      <w:szCs w:val="24"/>
    </w:rPr>
  </w:style>
  <w:style w:type="paragraph" w:styleId="a5">
    <w:name w:val="Balloon Text"/>
    <w:basedOn w:val="a"/>
    <w:link w:val="Char"/>
    <w:uiPriority w:val="99"/>
    <w:semiHidden/>
    <w:unhideWhenUsed/>
    <w:rsid w:val="00DD01B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D01B2"/>
    <w:rPr>
      <w:rFonts w:ascii="Tahoma" w:hAnsi="Tahoma" w:cs="Tahoma"/>
      <w:sz w:val="16"/>
      <w:szCs w:val="16"/>
    </w:rPr>
  </w:style>
  <w:style w:type="paragraph" w:styleId="a6">
    <w:name w:val="List Paragraph"/>
    <w:aliases w:val="Γράφημα,Bullet21,Bullet22,Bullet23,Bullet211,Bullet24,Bullet25,Bullet26,Bullet27,bl11,Bullet212,Bullet28,bl12,Bullet213,Bullet29,bl13,Bullet214,Bullet210,Bullet215,Itemize,Heading A,Bulleted List 1,List1,bl1,FooterText,List Paragraph1"/>
    <w:basedOn w:val="a"/>
    <w:link w:val="Char0"/>
    <w:uiPriority w:val="34"/>
    <w:qFormat/>
    <w:rsid w:val="00FE5EEF"/>
    <w:pPr>
      <w:spacing w:after="160" w:line="259" w:lineRule="auto"/>
      <w:ind w:left="720"/>
      <w:contextualSpacing/>
    </w:pPr>
    <w:rPr>
      <w:kern w:val="2"/>
    </w:rPr>
  </w:style>
  <w:style w:type="character" w:customStyle="1" w:styleId="Char0">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6"/>
    <w:uiPriority w:val="34"/>
    <w:qFormat/>
    <w:rsid w:val="00FE5EEF"/>
    <w:rPr>
      <w:kern w:val="2"/>
    </w:rPr>
  </w:style>
  <w:style w:type="character" w:styleId="-">
    <w:name w:val="Hyperlink"/>
    <w:aliases w:val="Δεσμός"/>
    <w:basedOn w:val="a0"/>
    <w:unhideWhenUsed/>
    <w:rsid w:val="00FE5EEF"/>
    <w:rPr>
      <w:color w:val="0000FF" w:themeColor="hyperlink"/>
      <w:u w:val="single"/>
    </w:rPr>
  </w:style>
  <w:style w:type="character" w:styleId="-0">
    <w:name w:val="FollowedHyperlink"/>
    <w:basedOn w:val="a0"/>
    <w:uiPriority w:val="99"/>
    <w:semiHidden/>
    <w:unhideWhenUsed/>
    <w:rsid w:val="002A6181"/>
    <w:rPr>
      <w:color w:val="800080" w:themeColor="followedHyperlink"/>
      <w:u w:val="single"/>
    </w:rPr>
  </w:style>
  <w:style w:type="character" w:styleId="a7">
    <w:name w:val="Unresolved Mention"/>
    <w:basedOn w:val="a0"/>
    <w:uiPriority w:val="99"/>
    <w:semiHidden/>
    <w:unhideWhenUsed/>
    <w:rsid w:val="00260E8D"/>
    <w:rPr>
      <w:color w:val="605E5C"/>
      <w:shd w:val="clear" w:color="auto" w:fill="E1DFDD"/>
    </w:rPr>
  </w:style>
  <w:style w:type="paragraph" w:styleId="Web">
    <w:name w:val="Normal (Web)"/>
    <w:basedOn w:val="a"/>
    <w:uiPriority w:val="99"/>
    <w:unhideWhenUsed/>
    <w:rsid w:val="00FB7BC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2B623D"/>
    <w:rPr>
      <w:sz w:val="16"/>
      <w:szCs w:val="16"/>
    </w:rPr>
  </w:style>
  <w:style w:type="paragraph" w:styleId="a9">
    <w:name w:val="annotation text"/>
    <w:basedOn w:val="a"/>
    <w:link w:val="Char1"/>
    <w:uiPriority w:val="99"/>
    <w:unhideWhenUsed/>
    <w:rsid w:val="002B623D"/>
    <w:pPr>
      <w:spacing w:line="240" w:lineRule="auto"/>
    </w:pPr>
    <w:rPr>
      <w:sz w:val="20"/>
      <w:szCs w:val="20"/>
    </w:rPr>
  </w:style>
  <w:style w:type="character" w:customStyle="1" w:styleId="Char1">
    <w:name w:val="Κείμενο σχολίου Char"/>
    <w:basedOn w:val="a0"/>
    <w:link w:val="a9"/>
    <w:uiPriority w:val="99"/>
    <w:rsid w:val="002B623D"/>
    <w:rPr>
      <w:sz w:val="20"/>
      <w:szCs w:val="20"/>
    </w:rPr>
  </w:style>
  <w:style w:type="paragraph" w:styleId="aa">
    <w:name w:val="annotation subject"/>
    <w:basedOn w:val="a9"/>
    <w:next w:val="a9"/>
    <w:link w:val="Char2"/>
    <w:uiPriority w:val="99"/>
    <w:semiHidden/>
    <w:unhideWhenUsed/>
    <w:rsid w:val="002B623D"/>
    <w:rPr>
      <w:b/>
      <w:bCs/>
    </w:rPr>
  </w:style>
  <w:style w:type="character" w:customStyle="1" w:styleId="Char2">
    <w:name w:val="Θέμα σχολίου Char"/>
    <w:basedOn w:val="Char1"/>
    <w:link w:val="aa"/>
    <w:uiPriority w:val="99"/>
    <w:semiHidden/>
    <w:rsid w:val="002B623D"/>
    <w:rPr>
      <w:b/>
      <w:bCs/>
      <w:sz w:val="20"/>
      <w:szCs w:val="20"/>
    </w:rPr>
  </w:style>
  <w:style w:type="paragraph" w:styleId="ab">
    <w:name w:val="Revision"/>
    <w:hidden/>
    <w:uiPriority w:val="99"/>
    <w:semiHidden/>
    <w:rsid w:val="00833978"/>
    <w:pPr>
      <w:spacing w:after="0" w:line="240" w:lineRule="auto"/>
    </w:pPr>
  </w:style>
  <w:style w:type="character" w:styleId="ac">
    <w:name w:val="Strong"/>
    <w:basedOn w:val="a0"/>
    <w:uiPriority w:val="22"/>
    <w:qFormat/>
    <w:rsid w:val="005A4C68"/>
    <w:rPr>
      <w:b/>
      <w:bCs/>
    </w:rPr>
  </w:style>
  <w:style w:type="character" w:customStyle="1" w:styleId="3Char">
    <w:name w:val="Επικεφαλίδα 3 Char"/>
    <w:basedOn w:val="a0"/>
    <w:link w:val="3"/>
    <w:uiPriority w:val="9"/>
    <w:rsid w:val="009B2C88"/>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1280">
      <w:bodyDiv w:val="1"/>
      <w:marLeft w:val="0"/>
      <w:marRight w:val="0"/>
      <w:marTop w:val="0"/>
      <w:marBottom w:val="0"/>
      <w:divBdr>
        <w:top w:val="none" w:sz="0" w:space="0" w:color="auto"/>
        <w:left w:val="none" w:sz="0" w:space="0" w:color="auto"/>
        <w:bottom w:val="none" w:sz="0" w:space="0" w:color="auto"/>
        <w:right w:val="none" w:sz="0" w:space="0" w:color="auto"/>
      </w:divBdr>
    </w:div>
    <w:div w:id="53355027">
      <w:bodyDiv w:val="1"/>
      <w:marLeft w:val="0"/>
      <w:marRight w:val="0"/>
      <w:marTop w:val="0"/>
      <w:marBottom w:val="0"/>
      <w:divBdr>
        <w:top w:val="none" w:sz="0" w:space="0" w:color="auto"/>
        <w:left w:val="none" w:sz="0" w:space="0" w:color="auto"/>
        <w:bottom w:val="none" w:sz="0" w:space="0" w:color="auto"/>
        <w:right w:val="none" w:sz="0" w:space="0" w:color="auto"/>
      </w:divBdr>
    </w:div>
    <w:div w:id="143205805">
      <w:bodyDiv w:val="1"/>
      <w:marLeft w:val="0"/>
      <w:marRight w:val="0"/>
      <w:marTop w:val="0"/>
      <w:marBottom w:val="0"/>
      <w:divBdr>
        <w:top w:val="none" w:sz="0" w:space="0" w:color="auto"/>
        <w:left w:val="none" w:sz="0" w:space="0" w:color="auto"/>
        <w:bottom w:val="none" w:sz="0" w:space="0" w:color="auto"/>
        <w:right w:val="none" w:sz="0" w:space="0" w:color="auto"/>
      </w:divBdr>
    </w:div>
    <w:div w:id="349843422">
      <w:bodyDiv w:val="1"/>
      <w:marLeft w:val="0"/>
      <w:marRight w:val="0"/>
      <w:marTop w:val="0"/>
      <w:marBottom w:val="0"/>
      <w:divBdr>
        <w:top w:val="none" w:sz="0" w:space="0" w:color="auto"/>
        <w:left w:val="none" w:sz="0" w:space="0" w:color="auto"/>
        <w:bottom w:val="none" w:sz="0" w:space="0" w:color="auto"/>
        <w:right w:val="none" w:sz="0" w:space="0" w:color="auto"/>
      </w:divBdr>
    </w:div>
    <w:div w:id="694157807">
      <w:bodyDiv w:val="1"/>
      <w:marLeft w:val="0"/>
      <w:marRight w:val="0"/>
      <w:marTop w:val="0"/>
      <w:marBottom w:val="0"/>
      <w:divBdr>
        <w:top w:val="none" w:sz="0" w:space="0" w:color="auto"/>
        <w:left w:val="none" w:sz="0" w:space="0" w:color="auto"/>
        <w:bottom w:val="none" w:sz="0" w:space="0" w:color="auto"/>
        <w:right w:val="none" w:sz="0" w:space="0" w:color="auto"/>
      </w:divBdr>
      <w:divsChild>
        <w:div w:id="1536455669">
          <w:marLeft w:val="0"/>
          <w:marRight w:val="0"/>
          <w:marTop w:val="0"/>
          <w:marBottom w:val="0"/>
          <w:divBdr>
            <w:top w:val="none" w:sz="0" w:space="0" w:color="auto"/>
            <w:left w:val="none" w:sz="0" w:space="0" w:color="auto"/>
            <w:bottom w:val="none" w:sz="0" w:space="0" w:color="auto"/>
            <w:right w:val="none" w:sz="0" w:space="0" w:color="auto"/>
          </w:divBdr>
        </w:div>
      </w:divsChild>
    </w:div>
    <w:div w:id="1525437458">
      <w:bodyDiv w:val="1"/>
      <w:marLeft w:val="0"/>
      <w:marRight w:val="0"/>
      <w:marTop w:val="0"/>
      <w:marBottom w:val="0"/>
      <w:divBdr>
        <w:top w:val="none" w:sz="0" w:space="0" w:color="auto"/>
        <w:left w:val="none" w:sz="0" w:space="0" w:color="auto"/>
        <w:bottom w:val="none" w:sz="0" w:space="0" w:color="auto"/>
        <w:right w:val="none" w:sz="0" w:space="0" w:color="auto"/>
      </w:divBdr>
      <w:divsChild>
        <w:div w:id="811867227">
          <w:marLeft w:val="0"/>
          <w:marRight w:val="0"/>
          <w:marTop w:val="0"/>
          <w:marBottom w:val="0"/>
          <w:divBdr>
            <w:top w:val="none" w:sz="0" w:space="0" w:color="auto"/>
            <w:left w:val="none" w:sz="0" w:space="0" w:color="auto"/>
            <w:bottom w:val="none" w:sz="0" w:space="0" w:color="auto"/>
            <w:right w:val="none" w:sz="0" w:space="0" w:color="auto"/>
          </w:divBdr>
        </w:div>
      </w:divsChild>
    </w:div>
    <w:div w:id="1628467876">
      <w:bodyDiv w:val="1"/>
      <w:marLeft w:val="0"/>
      <w:marRight w:val="0"/>
      <w:marTop w:val="0"/>
      <w:marBottom w:val="0"/>
      <w:divBdr>
        <w:top w:val="none" w:sz="0" w:space="0" w:color="auto"/>
        <w:left w:val="none" w:sz="0" w:space="0" w:color="auto"/>
        <w:bottom w:val="none" w:sz="0" w:space="0" w:color="auto"/>
        <w:right w:val="none" w:sz="0" w:space="0" w:color="auto"/>
      </w:divBdr>
    </w:div>
    <w:div w:id="20639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91a9cc87bea49a1838df93b8271acb3 xmlns="1245a0cc-d3b5-453f-a25b-905cec2ffeda">
      <Terms xmlns="http://schemas.microsoft.com/office/infopath/2007/PartnerControls"/>
    </l91a9cc87bea49a1838df93b8271acb3>
    <lcf76f155ced4ddcb4097134ff3c332f xmlns="1245a0cc-d3b5-453f-a25b-905cec2ffeda">
      <Terms xmlns="http://schemas.microsoft.com/office/infopath/2007/PartnerControls"/>
    </lcf76f155ced4ddcb4097134ff3c332f>
    <Test xmlns="1245a0cc-d3b5-453f-a25b-905cec2ffeda" xsi:nil="true"/>
    <TaxKeywordTaxHTField xmlns="9300985e-39b3-4abd-9d78-758df8ad3c27">
      <Terms xmlns="http://schemas.microsoft.com/office/infopath/2007/PartnerControls"/>
    </TaxKeywordTaxHTField>
    <Icon xmlns="1245a0cc-d3b5-453f-a25b-905cec2ffeda">
      <Url xsi:nil="true"/>
      <Description xsi:nil="true"/>
    </Icon>
    <_ip_UnifiedCompliancePolicyProperties xmlns="http://schemas.microsoft.com/sharepoint/v3" xsi:nil="true"/>
    <TaxCatchAll xmlns="9300985e-39b3-4abd-9d78-758df8ad3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8" ma:contentTypeDescription="Create a new document." ma:contentTypeScope="" ma:versionID="3d32b9303c5d84dc52541bd718c45d89">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ed7af26c7c3a1d5ae865c865f3921156"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7C7E-6B4A-4366-8014-ACC3ECFF9A0C}">
  <ds:schemaRefs>
    <ds:schemaRef ds:uri="http://schemas.microsoft.com/sharepoint/v3/contenttype/forms"/>
  </ds:schemaRefs>
</ds:datastoreItem>
</file>

<file path=customXml/itemProps2.xml><?xml version="1.0" encoding="utf-8"?>
<ds:datastoreItem xmlns:ds="http://schemas.openxmlformats.org/officeDocument/2006/customXml" ds:itemID="{F0B10BA3-86B1-48BD-9D8E-20EEA918C8B3}">
  <ds:schemaRefs>
    <ds:schemaRef ds:uri="http://schemas.microsoft.com/office/2006/metadata/properties"/>
    <ds:schemaRef ds:uri="http://schemas.microsoft.com/office/infopath/2007/PartnerControls"/>
    <ds:schemaRef ds:uri="http://schemas.microsoft.com/sharepoint/v3"/>
    <ds:schemaRef ds:uri="1245a0cc-d3b5-453f-a25b-905cec2ffeda"/>
    <ds:schemaRef ds:uri="9300985e-39b3-4abd-9d78-758df8ad3c27"/>
  </ds:schemaRefs>
</ds:datastoreItem>
</file>

<file path=customXml/itemProps3.xml><?xml version="1.0" encoding="utf-8"?>
<ds:datastoreItem xmlns:ds="http://schemas.openxmlformats.org/officeDocument/2006/customXml" ds:itemID="{C4C6492A-DF5C-4669-B6B4-E56947F1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0985e-39b3-4abd-9d78-758df8ad3c27"/>
    <ds:schemaRef ds:uri="1245a0cc-d3b5-453f-a25b-905cec2ff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2417</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2859</CharactersWithSpaces>
  <SharedDoc>false</SharedDoc>
  <HLinks>
    <vt:vector size="12" baseType="variant">
      <vt:variant>
        <vt:i4>1900630</vt:i4>
      </vt:variant>
      <vt:variant>
        <vt:i4>3</vt:i4>
      </vt:variant>
      <vt:variant>
        <vt:i4>0</vt:i4>
      </vt:variant>
      <vt:variant>
        <vt:i4>5</vt:i4>
      </vt:variant>
      <vt:variant>
        <vt:lpwstr>https://allazothermansi-thermosifona.gov.gr/</vt:lpwstr>
      </vt:variant>
      <vt:variant>
        <vt:lpwstr/>
      </vt:variant>
      <vt:variant>
        <vt:i4>3342399</vt:i4>
      </vt:variant>
      <vt:variant>
        <vt:i4>0</vt:i4>
      </vt:variant>
      <vt:variant>
        <vt:i4>0</vt:i4>
      </vt:variant>
      <vt:variant>
        <vt:i4>5</vt:i4>
      </vt:variant>
      <vt:variant>
        <vt:lpwstr>https://exoikonomo2025.gov.gr/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ΝΑΤΗ</dc:creator>
  <cp:keywords/>
  <cp:lastModifiedBy>ΔΕΠΙΚ</cp:lastModifiedBy>
  <cp:revision>2</cp:revision>
  <cp:lastPrinted>2024-12-20T14:09:00Z</cp:lastPrinted>
  <dcterms:created xsi:type="dcterms:W3CDTF">2025-11-04T16:16:00Z</dcterms:created>
  <dcterms:modified xsi:type="dcterms:W3CDTF">2025-11-04T16:16:00Z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0x01010070CEE924E92BB54190990FE67987027D</vt:lpwstr>
  </property>
  <property fmtid="{D5CDD505-2E9C-101B-9397-08002B2CF9AE}" pid="3" name="TaxKeyword">
    <vt:lpwstr/>
  </property>
  <property fmtid="{D5CDD505-2E9C-101B-9397-08002B2CF9AE}" pid="4" name="MediaServiceImageTags">
    <vt:lpwstr/>
  </property>
  <property fmtid="{D5CDD505-2E9C-101B-9397-08002B2CF9AE}" pid="5" name="ExpertIn">
    <vt:lpwstr/>
  </property>
</Properties>
</file>