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48"/>
      </w:tblGrid>
      <w:tr w:rsidR="00DD01B2" w:rsidRPr="003947CD" w14:paraId="048128B9" w14:textId="77777777" w:rsidTr="00454345">
        <w:tc>
          <w:tcPr>
            <w:tcW w:w="4158" w:type="dxa"/>
            <w:hideMark/>
          </w:tcPr>
          <w:p w14:paraId="6AB0F8FE" w14:textId="77589F17" w:rsidR="00DD01B2" w:rsidRPr="003947CD" w:rsidRDefault="00DD01B2" w:rsidP="003947CD">
            <w:pPr>
              <w:rPr>
                <w:sz w:val="24"/>
                <w:szCs w:val="24"/>
              </w:rPr>
            </w:pPr>
            <w:bookmarkStart w:id="0" w:name="_Hlk154060878"/>
          </w:p>
        </w:tc>
        <w:tc>
          <w:tcPr>
            <w:tcW w:w="4148" w:type="dxa"/>
            <w:hideMark/>
          </w:tcPr>
          <w:p w14:paraId="224D2495" w14:textId="5B678C06" w:rsidR="00DD01B2" w:rsidRPr="003947CD" w:rsidRDefault="00DD01B2" w:rsidP="003947CD">
            <w:pPr>
              <w:tabs>
                <w:tab w:val="left" w:pos="3144"/>
              </w:tabs>
              <w:jc w:val="right"/>
              <w:rPr>
                <w:sz w:val="24"/>
                <w:szCs w:val="24"/>
              </w:rPr>
            </w:pPr>
          </w:p>
        </w:tc>
      </w:tr>
      <w:bookmarkEnd w:id="0"/>
    </w:tbl>
    <w:p w14:paraId="264FBF1C" w14:textId="66F7FAD4" w:rsidR="00574135" w:rsidRPr="003947CD" w:rsidRDefault="00574135" w:rsidP="003947CD">
      <w:pPr>
        <w:pStyle w:val="a4"/>
        <w:rPr>
          <w:b/>
          <w:bCs/>
        </w:rPr>
      </w:pPr>
    </w:p>
    <w:p w14:paraId="15BBD389" w14:textId="230CB6B0" w:rsidR="005E2FAD" w:rsidRDefault="005E2FAD" w:rsidP="003947CD">
      <w:pPr>
        <w:pStyle w:val="a4"/>
        <w:jc w:val="right"/>
        <w:rPr>
          <w:b/>
          <w:bCs/>
          <w:lang w:val="en-US"/>
        </w:rPr>
      </w:pPr>
    </w:p>
    <w:tbl>
      <w:tblPr>
        <w:tblStyle w:val="a3"/>
        <w:tblW w:w="978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2976"/>
        <w:gridCol w:w="3410"/>
      </w:tblGrid>
      <w:tr w:rsidR="00AF25E2" w14:paraId="4C398724" w14:textId="77777777" w:rsidTr="00AF25E2">
        <w:tc>
          <w:tcPr>
            <w:tcW w:w="3396" w:type="dxa"/>
          </w:tcPr>
          <w:p w14:paraId="676CD945" w14:textId="2356CF98" w:rsidR="00AF25E2" w:rsidRDefault="00AF25E2" w:rsidP="003947CD">
            <w:pPr>
              <w:pStyle w:val="a4"/>
              <w:jc w:val="right"/>
              <w:rPr>
                <w:b/>
                <w:bCs/>
                <w:lang w:val="en-US"/>
              </w:rPr>
            </w:pPr>
            <w:r>
              <w:rPr>
                <w:noProof/>
                <w:lang w:eastAsia="el-GR"/>
              </w:rPr>
              <w:drawing>
                <wp:anchor distT="0" distB="0" distL="114300" distR="114300" simplePos="0" relativeHeight="251663360" behindDoc="1" locked="0" layoutInCell="1" allowOverlap="1" wp14:anchorId="5466C898" wp14:editId="4AD63A89">
                  <wp:simplePos x="0" y="0"/>
                  <wp:positionH relativeFrom="margin">
                    <wp:posOffset>-68580</wp:posOffset>
                  </wp:positionH>
                  <wp:positionV relativeFrom="paragraph">
                    <wp:posOffset>824230</wp:posOffset>
                  </wp:positionV>
                  <wp:extent cx="2016760" cy="828675"/>
                  <wp:effectExtent l="0" t="0" r="2540" b="9525"/>
                  <wp:wrapTight wrapText="bothSides">
                    <wp:wrapPolygon edited="0">
                      <wp:start x="0" y="0"/>
                      <wp:lineTo x="0" y="21352"/>
                      <wp:lineTo x="21423" y="21352"/>
                      <wp:lineTo x="21423" y="0"/>
                      <wp:lineTo x="0"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6968" name="Εικόνα 638426968"/>
                          <pic:cNvPicPr/>
                        </pic:nvPicPr>
                        <pic:blipFill rotWithShape="1">
                          <a:blip r:embed="rId8">
                            <a:extLst>
                              <a:ext uri="{28A0092B-C50C-407E-A947-70E740481C1C}">
                                <a14:useLocalDpi xmlns:a14="http://schemas.microsoft.com/office/drawing/2010/main" val="0"/>
                              </a:ext>
                            </a:extLst>
                          </a:blip>
                          <a:srcRect r="65686"/>
                          <a:stretch/>
                        </pic:blipFill>
                        <pic:spPr bwMode="auto">
                          <a:xfrm>
                            <a:off x="0" y="0"/>
                            <a:ext cx="2016760" cy="828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50" w:type="dxa"/>
          </w:tcPr>
          <w:p w14:paraId="55D80AA0" w14:textId="1C55121D" w:rsidR="00AF25E2" w:rsidRDefault="00AF25E2" w:rsidP="003947CD">
            <w:pPr>
              <w:pStyle w:val="a4"/>
              <w:jc w:val="right"/>
              <w:rPr>
                <w:b/>
                <w:bCs/>
                <w:lang w:val="en-US"/>
              </w:rPr>
            </w:pPr>
            <w:r w:rsidRPr="00AF44BF">
              <w:rPr>
                <w:rFonts w:ascii="Franklin Gothic Medium" w:hAnsi="Franklin Gothic Medium"/>
                <w:noProof/>
                <w:lang w:eastAsia="el-GR"/>
              </w:rPr>
              <w:drawing>
                <wp:anchor distT="0" distB="0" distL="114300" distR="114300" simplePos="0" relativeHeight="251665408" behindDoc="1" locked="0" layoutInCell="1" allowOverlap="1" wp14:anchorId="13F1DA68" wp14:editId="17908286">
                  <wp:simplePos x="0" y="0"/>
                  <wp:positionH relativeFrom="margin">
                    <wp:posOffset>77470</wp:posOffset>
                  </wp:positionH>
                  <wp:positionV relativeFrom="paragraph">
                    <wp:posOffset>979805</wp:posOffset>
                  </wp:positionV>
                  <wp:extent cx="1533525" cy="530225"/>
                  <wp:effectExtent l="0" t="0" r="9525" b="3175"/>
                  <wp:wrapTight wrapText="bothSides">
                    <wp:wrapPolygon edited="0">
                      <wp:start x="0" y="3104"/>
                      <wp:lineTo x="0" y="20953"/>
                      <wp:lineTo x="19319" y="20953"/>
                      <wp:lineTo x="21466" y="20953"/>
                      <wp:lineTo x="21466" y="17849"/>
                      <wp:lineTo x="19856" y="14745"/>
                      <wp:lineTo x="19051" y="11641"/>
                      <wp:lineTo x="15831" y="3104"/>
                      <wp:lineTo x="0" y="3104"/>
                    </wp:wrapPolygon>
                  </wp:wrapTight>
                  <wp:docPr id="3" name="Εικόνα 3"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6052"/>
                          <a:stretch/>
                        </pic:blipFill>
                        <pic:spPr bwMode="auto">
                          <a:xfrm>
                            <a:off x="0" y="0"/>
                            <a:ext cx="1533525" cy="530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262BA702" wp14:editId="4C2DD7A4">
                  <wp:simplePos x="0" y="0"/>
                  <wp:positionH relativeFrom="column">
                    <wp:posOffset>-55880</wp:posOffset>
                  </wp:positionH>
                  <wp:positionV relativeFrom="paragraph">
                    <wp:posOffset>0</wp:posOffset>
                  </wp:positionV>
                  <wp:extent cx="1743075" cy="800100"/>
                  <wp:effectExtent l="0" t="0" r="9525" b="0"/>
                  <wp:wrapTight wrapText="bothSides">
                    <wp:wrapPolygon edited="0">
                      <wp:start x="0" y="0"/>
                      <wp:lineTo x="0" y="21086"/>
                      <wp:lineTo x="21482" y="21086"/>
                      <wp:lineTo x="21482" y="0"/>
                      <wp:lineTo x="0" y="0"/>
                    </wp:wrapPolygon>
                  </wp:wrapTight>
                  <wp:docPr id="5" name="Εικόνα 2" descr="Εικόνα που περιέχει λογότυπο, σύμβολο, έμβλημα,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90942048" name="Εικόνα 2" descr="Εικόνα που περιέχει λογότυπο, σύμβολο, έμβλημα, κείμενο&#10;&#10;Περιγραφή που δημιουργήθηκε αυτόματα"/>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800100"/>
                          </a:xfrm>
                          <a:prstGeom prst="rect">
                            <a:avLst/>
                          </a:prstGeom>
                          <a:noFill/>
                          <a:ln>
                            <a:noFill/>
                          </a:ln>
                        </pic:spPr>
                      </pic:pic>
                    </a:graphicData>
                  </a:graphic>
                </wp:anchor>
              </w:drawing>
            </w:r>
          </w:p>
        </w:tc>
        <w:tc>
          <w:tcPr>
            <w:tcW w:w="3436" w:type="dxa"/>
          </w:tcPr>
          <w:p w14:paraId="5C1C7ECE" w14:textId="47D4C6E8" w:rsidR="00AF25E2" w:rsidRDefault="00AF25E2" w:rsidP="003947CD">
            <w:pPr>
              <w:pStyle w:val="a4"/>
              <w:jc w:val="right"/>
              <w:rPr>
                <w:b/>
                <w:bCs/>
                <w:lang w:val="en-US"/>
              </w:rPr>
            </w:pPr>
            <w:r>
              <w:rPr>
                <w:noProof/>
              </w:rPr>
              <w:drawing>
                <wp:anchor distT="0" distB="0" distL="114300" distR="114300" simplePos="0" relativeHeight="251668480" behindDoc="1" locked="0" layoutInCell="1" allowOverlap="1" wp14:anchorId="1DB598AA" wp14:editId="15B67E61">
                  <wp:simplePos x="0" y="0"/>
                  <wp:positionH relativeFrom="column">
                    <wp:posOffset>80645</wp:posOffset>
                  </wp:positionH>
                  <wp:positionV relativeFrom="paragraph">
                    <wp:posOffset>0</wp:posOffset>
                  </wp:positionV>
                  <wp:extent cx="1743075" cy="800100"/>
                  <wp:effectExtent l="0" t="0" r="9525" b="0"/>
                  <wp:wrapTight wrapText="bothSides">
                    <wp:wrapPolygon edited="0">
                      <wp:start x="0" y="0"/>
                      <wp:lineTo x="0" y="21086"/>
                      <wp:lineTo x="21482" y="21086"/>
                      <wp:lineTo x="21482" y="0"/>
                      <wp:lineTo x="0" y="0"/>
                    </wp:wrapPolygon>
                  </wp:wrapTight>
                  <wp:docPr id="190942048" name="Εικόνα 2" descr="Εικόνα που περιέχει λογότυπο, σύμβολο, έμβλημα,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90942048" name="Εικόνα 2" descr="Εικόνα που περιέχει λογότυπο, σύμβολο, έμβλημα, κείμενο&#10;&#10;Περιγραφή που δημιουργήθηκε αυτόματα"/>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800100"/>
                          </a:xfrm>
                          <a:prstGeom prst="rect">
                            <a:avLst/>
                          </a:prstGeom>
                          <a:noFill/>
                          <a:ln>
                            <a:noFill/>
                          </a:ln>
                        </pic:spPr>
                      </pic:pic>
                    </a:graphicData>
                  </a:graphic>
                </wp:anchor>
              </w:drawing>
            </w:r>
            <w:r w:rsidRPr="003947CD">
              <w:rPr>
                <w:noProof/>
                <w:lang w:eastAsia="el-GR"/>
              </w:rPr>
              <w:drawing>
                <wp:anchor distT="0" distB="0" distL="114300" distR="114300" simplePos="0" relativeHeight="251667456" behindDoc="1" locked="0" layoutInCell="1" allowOverlap="1" wp14:anchorId="23CADCAC" wp14:editId="1DEBFF9C">
                  <wp:simplePos x="0" y="0"/>
                  <wp:positionH relativeFrom="column">
                    <wp:posOffset>138430</wp:posOffset>
                  </wp:positionH>
                  <wp:positionV relativeFrom="paragraph">
                    <wp:posOffset>814070</wp:posOffset>
                  </wp:positionV>
                  <wp:extent cx="1666875" cy="857250"/>
                  <wp:effectExtent l="0" t="0" r="9525" b="0"/>
                  <wp:wrapTight wrapText="bothSides">
                    <wp:wrapPolygon edited="0">
                      <wp:start x="0" y="0"/>
                      <wp:lineTo x="0" y="21120"/>
                      <wp:lineTo x="21477" y="21120"/>
                      <wp:lineTo x="21477" y="0"/>
                      <wp:lineTo x="0" y="0"/>
                    </wp:wrapPolygon>
                  </wp:wrapTight>
                  <wp:docPr id="4" name="Εικόνα 1"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857250"/>
                          </a:xfrm>
                          <a:prstGeom prst="rect">
                            <a:avLst/>
                          </a:prstGeom>
                          <a:noFill/>
                          <a:ln>
                            <a:noFill/>
                          </a:ln>
                        </pic:spPr>
                      </pic:pic>
                    </a:graphicData>
                  </a:graphic>
                </wp:anchor>
              </w:drawing>
            </w:r>
          </w:p>
        </w:tc>
      </w:tr>
    </w:tbl>
    <w:p w14:paraId="402F963C" w14:textId="02FCE6B5" w:rsidR="00AF25E2" w:rsidRDefault="00AF25E2" w:rsidP="003947CD">
      <w:pPr>
        <w:pStyle w:val="a4"/>
        <w:jc w:val="right"/>
        <w:rPr>
          <w:b/>
          <w:bCs/>
          <w:lang w:val="en-US"/>
        </w:rPr>
      </w:pPr>
    </w:p>
    <w:p w14:paraId="7812F549" w14:textId="56706843" w:rsidR="002C6D64" w:rsidRPr="003947CD" w:rsidRDefault="00676C01" w:rsidP="003947CD">
      <w:pPr>
        <w:pStyle w:val="a4"/>
        <w:jc w:val="right"/>
        <w:rPr>
          <w:b/>
          <w:bCs/>
        </w:rPr>
      </w:pPr>
      <w:r>
        <w:rPr>
          <w:b/>
          <w:bCs/>
        </w:rPr>
        <w:t>Τρίτη,</w:t>
      </w:r>
      <w:r w:rsidR="002C6D64" w:rsidRPr="003947CD">
        <w:rPr>
          <w:b/>
          <w:bCs/>
        </w:rPr>
        <w:t xml:space="preserve"> </w:t>
      </w:r>
      <w:r>
        <w:rPr>
          <w:b/>
          <w:bCs/>
        </w:rPr>
        <w:t xml:space="preserve">4 </w:t>
      </w:r>
      <w:r w:rsidR="00782619">
        <w:rPr>
          <w:b/>
          <w:bCs/>
        </w:rPr>
        <w:t xml:space="preserve">Νοεμβρίου </w:t>
      </w:r>
      <w:r w:rsidR="002C6D64" w:rsidRPr="003947CD">
        <w:rPr>
          <w:b/>
          <w:bCs/>
        </w:rPr>
        <w:t xml:space="preserve">2025 </w:t>
      </w:r>
    </w:p>
    <w:p w14:paraId="5484C522" w14:textId="594C1063" w:rsidR="00AE2B1D" w:rsidRPr="003947CD" w:rsidRDefault="00AE2B1D" w:rsidP="003947CD">
      <w:pPr>
        <w:pStyle w:val="a4"/>
        <w:rPr>
          <w:rFonts w:eastAsia="Times New Roman"/>
          <w:b/>
          <w:bCs/>
          <w:lang w:eastAsia="el-GR"/>
        </w:rPr>
      </w:pPr>
    </w:p>
    <w:p w14:paraId="4146EA42" w14:textId="45955739" w:rsidR="00392943" w:rsidRDefault="00392943" w:rsidP="00815935">
      <w:pPr>
        <w:pStyle w:val="a4"/>
        <w:jc w:val="center"/>
        <w:rPr>
          <w:b/>
          <w:u w:val="single"/>
        </w:rPr>
      </w:pPr>
      <w:bookmarkStart w:id="1" w:name="_Hlk148953441"/>
    </w:p>
    <w:p w14:paraId="18CA9946" w14:textId="069A3BE7" w:rsidR="00815935" w:rsidRPr="00FB7425" w:rsidRDefault="00815935" w:rsidP="00815935">
      <w:pPr>
        <w:pStyle w:val="a4"/>
        <w:jc w:val="center"/>
        <w:rPr>
          <w:rFonts w:eastAsia="Calibri"/>
          <w:b/>
          <w:u w:val="single"/>
        </w:rPr>
      </w:pPr>
      <w:r w:rsidRPr="00FB7425">
        <w:rPr>
          <w:b/>
          <w:u w:val="single"/>
        </w:rPr>
        <w:t xml:space="preserve">Κοινή ανακοίνωση Τύπου των Υπουργείων Εθνικής </w:t>
      </w:r>
      <w:r w:rsidRPr="00FB7425">
        <w:rPr>
          <w:rFonts w:eastAsia="Calibri"/>
          <w:b/>
          <w:u w:val="single"/>
        </w:rPr>
        <w:t>Οικονομίας και Οικονομικών</w:t>
      </w:r>
    </w:p>
    <w:p w14:paraId="2F66C382" w14:textId="2B3C6248" w:rsidR="00815935" w:rsidRPr="00E841AC" w:rsidRDefault="00815935" w:rsidP="00815935">
      <w:pPr>
        <w:pStyle w:val="a4"/>
        <w:jc w:val="center"/>
        <w:rPr>
          <w:b/>
          <w:u w:val="single"/>
        </w:rPr>
      </w:pPr>
      <w:r w:rsidRPr="00FB7425">
        <w:rPr>
          <w:rFonts w:eastAsia="Calibri"/>
          <w:b/>
          <w:u w:val="single"/>
        </w:rPr>
        <w:t>&amp; Περιβάλλοντος και Ενέργειας</w:t>
      </w:r>
      <w:r w:rsidR="00AF25E2">
        <w:rPr>
          <w:rFonts w:eastAsia="Calibri"/>
          <w:b/>
          <w:u w:val="single"/>
        </w:rPr>
        <w:t xml:space="preserve"> και της </w:t>
      </w:r>
      <w:r w:rsidR="00E841AC">
        <w:rPr>
          <w:rFonts w:eastAsia="Calibri"/>
          <w:b/>
          <w:u w:val="single"/>
        </w:rPr>
        <w:t>Ανεξάρτητης Αρχής Δημοσίων Εσόδων</w:t>
      </w:r>
    </w:p>
    <w:p w14:paraId="14672B18" w14:textId="0DFA4D86" w:rsidR="00815935" w:rsidRPr="00E76CE1" w:rsidRDefault="00815935" w:rsidP="00815935">
      <w:pPr>
        <w:pStyle w:val="a4"/>
        <w:jc w:val="center"/>
      </w:pPr>
    </w:p>
    <w:p w14:paraId="227A52A5" w14:textId="2EE8998D" w:rsidR="00815935" w:rsidRPr="00FB7425" w:rsidRDefault="00815935" w:rsidP="00815935">
      <w:pPr>
        <w:pStyle w:val="a4"/>
        <w:jc w:val="center"/>
        <w:rPr>
          <w:b/>
          <w:sz w:val="30"/>
          <w:szCs w:val="30"/>
        </w:rPr>
      </w:pPr>
      <w:r w:rsidRPr="00E841AC">
        <w:rPr>
          <w:b/>
        </w:rPr>
        <w:t>Τη Δευτέρα 10 Νοεμβρίου</w:t>
      </w:r>
      <w:r w:rsidRPr="00815935">
        <w:rPr>
          <w:b/>
        </w:rPr>
        <w:t xml:space="preserve"> ξεκινούν οι αιτήσεις για το επίδομα θέρμανσης</w:t>
      </w:r>
    </w:p>
    <w:p w14:paraId="49C14D4C" w14:textId="324E62A4" w:rsidR="00815935" w:rsidRPr="00FB7425" w:rsidRDefault="00815935" w:rsidP="00815935">
      <w:pPr>
        <w:pStyle w:val="a4"/>
        <w:jc w:val="center"/>
        <w:rPr>
          <w:b/>
        </w:rPr>
      </w:pPr>
    </w:p>
    <w:p w14:paraId="17BF2FC8" w14:textId="77777777" w:rsidR="00815935" w:rsidRPr="00815935" w:rsidRDefault="00815935" w:rsidP="00815935">
      <w:pPr>
        <w:pStyle w:val="a4"/>
        <w:jc w:val="center"/>
        <w:rPr>
          <w:rFonts w:eastAsia="Calibri"/>
          <w:u w:val="single"/>
        </w:rPr>
      </w:pPr>
      <w:r w:rsidRPr="00815935">
        <w:rPr>
          <w:u w:val="single"/>
        </w:rPr>
        <w:t>Τα κριτήρια για την επιδότηση και οι ημερομηνίες καταβολής</w:t>
      </w:r>
    </w:p>
    <w:p w14:paraId="1C98D6F6" w14:textId="77777777" w:rsidR="00815935" w:rsidRDefault="00815935" w:rsidP="00815935">
      <w:pPr>
        <w:jc w:val="both"/>
        <w:rPr>
          <w:rFonts w:eastAsia="Calibri" w:cstheme="minorHAnsi"/>
          <w:sz w:val="24"/>
          <w:szCs w:val="24"/>
        </w:rPr>
      </w:pPr>
    </w:p>
    <w:p w14:paraId="4EFA8ECC" w14:textId="64A9EDA0" w:rsidR="00815935" w:rsidRPr="00E76CE1" w:rsidRDefault="00815935" w:rsidP="00815935">
      <w:pPr>
        <w:jc w:val="both"/>
        <w:rPr>
          <w:sz w:val="24"/>
          <w:szCs w:val="24"/>
        </w:rPr>
      </w:pPr>
      <w:r w:rsidRPr="00E76CE1">
        <w:rPr>
          <w:sz w:val="24"/>
          <w:szCs w:val="24"/>
        </w:rPr>
        <w:t xml:space="preserve">Υπεγράφη από τους συναρμόδιους </w:t>
      </w:r>
      <w:r w:rsidRPr="00211CD6">
        <w:rPr>
          <w:b/>
          <w:bCs/>
          <w:sz w:val="24"/>
          <w:szCs w:val="24"/>
        </w:rPr>
        <w:t>Υπουργούς Εθνικής Οικονομίας και Οικονομικών</w:t>
      </w:r>
      <w:r>
        <w:rPr>
          <w:b/>
          <w:bCs/>
          <w:sz w:val="24"/>
          <w:szCs w:val="24"/>
        </w:rPr>
        <w:t>,</w:t>
      </w:r>
      <w:r w:rsidRPr="00211CD6">
        <w:rPr>
          <w:b/>
          <w:bCs/>
          <w:sz w:val="24"/>
          <w:szCs w:val="24"/>
        </w:rPr>
        <w:t xml:space="preserve"> </w:t>
      </w:r>
      <w:r>
        <w:rPr>
          <w:b/>
          <w:bCs/>
          <w:sz w:val="24"/>
          <w:szCs w:val="24"/>
        </w:rPr>
        <w:t xml:space="preserve">κ. Κυριάκο </w:t>
      </w:r>
      <w:proofErr w:type="spellStart"/>
      <w:r>
        <w:rPr>
          <w:b/>
          <w:bCs/>
          <w:sz w:val="24"/>
          <w:szCs w:val="24"/>
        </w:rPr>
        <w:t>Πιερρακάκη</w:t>
      </w:r>
      <w:proofErr w:type="spellEnd"/>
      <w:r w:rsidRPr="00211CD6">
        <w:rPr>
          <w:b/>
          <w:bCs/>
          <w:sz w:val="24"/>
          <w:szCs w:val="24"/>
        </w:rPr>
        <w:t>, Περιβάλλοντος και Ενέργειας</w:t>
      </w:r>
      <w:r>
        <w:rPr>
          <w:b/>
          <w:bCs/>
          <w:sz w:val="24"/>
          <w:szCs w:val="24"/>
        </w:rPr>
        <w:t>, κ.</w:t>
      </w:r>
      <w:r w:rsidRPr="00211CD6">
        <w:rPr>
          <w:b/>
          <w:bCs/>
          <w:sz w:val="24"/>
          <w:szCs w:val="24"/>
        </w:rPr>
        <w:t xml:space="preserve"> </w:t>
      </w:r>
      <w:r>
        <w:rPr>
          <w:b/>
          <w:bCs/>
          <w:sz w:val="24"/>
          <w:szCs w:val="24"/>
        </w:rPr>
        <w:t>Σταύρο Παπασταύρου</w:t>
      </w:r>
      <w:r w:rsidR="00AA3801">
        <w:rPr>
          <w:b/>
          <w:bCs/>
          <w:sz w:val="24"/>
          <w:szCs w:val="24"/>
        </w:rPr>
        <w:t xml:space="preserve">, </w:t>
      </w:r>
      <w:r w:rsidRPr="00211CD6">
        <w:rPr>
          <w:b/>
          <w:bCs/>
          <w:sz w:val="24"/>
          <w:szCs w:val="24"/>
        </w:rPr>
        <w:t xml:space="preserve">τους Υφυπουργούς Εθνικής Οικονομίας και Οικονομικών, </w:t>
      </w:r>
      <w:r>
        <w:rPr>
          <w:b/>
          <w:bCs/>
          <w:sz w:val="24"/>
          <w:szCs w:val="24"/>
        </w:rPr>
        <w:t xml:space="preserve">κ. Γιώργο </w:t>
      </w:r>
      <w:proofErr w:type="spellStart"/>
      <w:r>
        <w:rPr>
          <w:b/>
          <w:bCs/>
          <w:sz w:val="24"/>
          <w:szCs w:val="24"/>
        </w:rPr>
        <w:t>Κώτσηρα</w:t>
      </w:r>
      <w:proofErr w:type="spellEnd"/>
      <w:r>
        <w:rPr>
          <w:b/>
          <w:bCs/>
          <w:sz w:val="24"/>
          <w:szCs w:val="24"/>
        </w:rPr>
        <w:t xml:space="preserve"> </w:t>
      </w:r>
      <w:r w:rsidRPr="00815935">
        <w:rPr>
          <w:bCs/>
          <w:sz w:val="24"/>
          <w:szCs w:val="24"/>
        </w:rPr>
        <w:t>και</w:t>
      </w:r>
      <w:r w:rsidRPr="00211CD6">
        <w:rPr>
          <w:b/>
          <w:bCs/>
          <w:sz w:val="24"/>
          <w:szCs w:val="24"/>
        </w:rPr>
        <w:t xml:space="preserve"> </w:t>
      </w:r>
      <w:r>
        <w:rPr>
          <w:b/>
          <w:bCs/>
          <w:sz w:val="24"/>
          <w:szCs w:val="24"/>
        </w:rPr>
        <w:t xml:space="preserve">κ. </w:t>
      </w:r>
      <w:r w:rsidRPr="00211CD6">
        <w:rPr>
          <w:b/>
          <w:bCs/>
          <w:sz w:val="24"/>
          <w:szCs w:val="24"/>
        </w:rPr>
        <w:t>Θάνο Πετραλιά</w:t>
      </w:r>
      <w:r w:rsidR="00AA3801">
        <w:rPr>
          <w:bCs/>
          <w:sz w:val="24"/>
          <w:szCs w:val="24"/>
        </w:rPr>
        <w:t xml:space="preserve"> </w:t>
      </w:r>
      <w:r w:rsidR="00AA3801" w:rsidRPr="00727CF2">
        <w:rPr>
          <w:bCs/>
          <w:sz w:val="24"/>
          <w:szCs w:val="24"/>
        </w:rPr>
        <w:t xml:space="preserve">και τον </w:t>
      </w:r>
      <w:r w:rsidR="00AA3801" w:rsidRPr="00727CF2">
        <w:rPr>
          <w:b/>
          <w:bCs/>
          <w:sz w:val="24"/>
          <w:szCs w:val="24"/>
        </w:rPr>
        <w:t xml:space="preserve">Υφυπουργό Περιβάλλοντος και Ενέργειας κ. Νικόλαο </w:t>
      </w:r>
      <w:proofErr w:type="spellStart"/>
      <w:r w:rsidR="00AA3801" w:rsidRPr="00727CF2">
        <w:rPr>
          <w:b/>
          <w:bCs/>
          <w:sz w:val="24"/>
          <w:szCs w:val="24"/>
        </w:rPr>
        <w:t>Τσ</w:t>
      </w:r>
      <w:r w:rsidR="000B1B39" w:rsidRPr="00727CF2">
        <w:rPr>
          <w:b/>
          <w:bCs/>
          <w:sz w:val="24"/>
          <w:szCs w:val="24"/>
        </w:rPr>
        <w:t>ά</w:t>
      </w:r>
      <w:r w:rsidR="00AA3801" w:rsidRPr="00727CF2">
        <w:rPr>
          <w:b/>
          <w:bCs/>
          <w:sz w:val="24"/>
          <w:szCs w:val="24"/>
        </w:rPr>
        <w:t>φο</w:t>
      </w:r>
      <w:proofErr w:type="spellEnd"/>
      <w:r w:rsidR="00AA3801" w:rsidRPr="00727CF2">
        <w:rPr>
          <w:b/>
          <w:bCs/>
          <w:sz w:val="24"/>
          <w:szCs w:val="24"/>
        </w:rPr>
        <w:t>,</w:t>
      </w:r>
      <w:r w:rsidR="00A77CD5" w:rsidRPr="00727CF2">
        <w:rPr>
          <w:bCs/>
          <w:sz w:val="24"/>
          <w:szCs w:val="24"/>
        </w:rPr>
        <w:t xml:space="preserve"> με εισήγηση του Διοικητή της </w:t>
      </w:r>
      <w:r w:rsidR="00A77CD5" w:rsidRPr="00727CF2">
        <w:rPr>
          <w:b/>
          <w:bCs/>
          <w:sz w:val="24"/>
          <w:szCs w:val="24"/>
        </w:rPr>
        <w:t>ΑΑΔΕ</w:t>
      </w:r>
      <w:r w:rsidR="00A77CD5" w:rsidRPr="00727CF2">
        <w:rPr>
          <w:bCs/>
          <w:sz w:val="24"/>
          <w:szCs w:val="24"/>
        </w:rPr>
        <w:t>,</w:t>
      </w:r>
      <w:r w:rsidR="00A77CD5" w:rsidRPr="00727CF2">
        <w:rPr>
          <w:b/>
          <w:bCs/>
          <w:sz w:val="24"/>
          <w:szCs w:val="24"/>
        </w:rPr>
        <w:t xml:space="preserve"> </w:t>
      </w:r>
      <w:r w:rsidR="00727CF2">
        <w:rPr>
          <w:b/>
          <w:bCs/>
          <w:sz w:val="24"/>
          <w:szCs w:val="24"/>
        </w:rPr>
        <w:t xml:space="preserve">κ. </w:t>
      </w:r>
      <w:r w:rsidR="00A77CD5" w:rsidRPr="00727CF2">
        <w:rPr>
          <w:b/>
          <w:bCs/>
          <w:sz w:val="24"/>
          <w:szCs w:val="24"/>
        </w:rPr>
        <w:t xml:space="preserve">Γιώργου </w:t>
      </w:r>
      <w:proofErr w:type="spellStart"/>
      <w:r w:rsidR="00A77CD5" w:rsidRPr="00727CF2">
        <w:rPr>
          <w:b/>
          <w:bCs/>
          <w:sz w:val="24"/>
          <w:szCs w:val="24"/>
        </w:rPr>
        <w:t>Πιτσιλή</w:t>
      </w:r>
      <w:proofErr w:type="spellEnd"/>
      <w:r w:rsidR="00A77CD5" w:rsidRPr="00727CF2">
        <w:rPr>
          <w:b/>
          <w:bCs/>
          <w:sz w:val="24"/>
          <w:szCs w:val="24"/>
        </w:rPr>
        <w:t>,</w:t>
      </w:r>
      <w:r w:rsidRPr="00E76CE1">
        <w:rPr>
          <w:sz w:val="24"/>
          <w:szCs w:val="24"/>
        </w:rPr>
        <w:t xml:space="preserve"> η </w:t>
      </w:r>
      <w:r>
        <w:rPr>
          <w:sz w:val="24"/>
          <w:szCs w:val="24"/>
        </w:rPr>
        <w:t>Κ</w:t>
      </w:r>
      <w:r w:rsidRPr="00E76CE1">
        <w:rPr>
          <w:sz w:val="24"/>
          <w:szCs w:val="24"/>
        </w:rPr>
        <w:t xml:space="preserve">οινή </w:t>
      </w:r>
      <w:r>
        <w:rPr>
          <w:sz w:val="24"/>
          <w:szCs w:val="24"/>
        </w:rPr>
        <w:t>Υ</w:t>
      </w:r>
      <w:r w:rsidRPr="00E76CE1">
        <w:rPr>
          <w:sz w:val="24"/>
          <w:szCs w:val="24"/>
        </w:rPr>
        <w:t xml:space="preserve">πουργική </w:t>
      </w:r>
      <w:r>
        <w:rPr>
          <w:sz w:val="24"/>
          <w:szCs w:val="24"/>
        </w:rPr>
        <w:t>Α</w:t>
      </w:r>
      <w:r w:rsidRPr="00E76CE1">
        <w:rPr>
          <w:sz w:val="24"/>
          <w:szCs w:val="24"/>
        </w:rPr>
        <w:t xml:space="preserve">πόφαση </w:t>
      </w:r>
      <w:r>
        <w:rPr>
          <w:sz w:val="24"/>
          <w:szCs w:val="24"/>
        </w:rPr>
        <w:t xml:space="preserve">(ΚΥΑ) </w:t>
      </w:r>
      <w:r w:rsidRPr="00E76CE1">
        <w:rPr>
          <w:sz w:val="24"/>
          <w:szCs w:val="24"/>
        </w:rPr>
        <w:t xml:space="preserve">για τη χορήγηση του επιδόματος θέρμανσης </w:t>
      </w:r>
      <w:r>
        <w:rPr>
          <w:sz w:val="24"/>
          <w:szCs w:val="24"/>
        </w:rPr>
        <w:t>της</w:t>
      </w:r>
      <w:r w:rsidRPr="00E76CE1">
        <w:rPr>
          <w:sz w:val="24"/>
          <w:szCs w:val="24"/>
        </w:rPr>
        <w:t xml:space="preserve"> χειμερινή</w:t>
      </w:r>
      <w:r>
        <w:rPr>
          <w:sz w:val="24"/>
          <w:szCs w:val="24"/>
        </w:rPr>
        <w:t>ς</w:t>
      </w:r>
      <w:r w:rsidRPr="00E76CE1">
        <w:rPr>
          <w:sz w:val="24"/>
          <w:szCs w:val="24"/>
        </w:rPr>
        <w:t xml:space="preserve"> περ</w:t>
      </w:r>
      <w:r>
        <w:rPr>
          <w:sz w:val="24"/>
          <w:szCs w:val="24"/>
        </w:rPr>
        <w:t>ιόδου</w:t>
      </w:r>
      <w:r w:rsidRPr="00E76CE1">
        <w:rPr>
          <w:sz w:val="24"/>
          <w:szCs w:val="24"/>
        </w:rPr>
        <w:t xml:space="preserve"> </w:t>
      </w:r>
      <w:r>
        <w:rPr>
          <w:sz w:val="24"/>
          <w:szCs w:val="24"/>
        </w:rPr>
        <w:t>2025-2026</w:t>
      </w:r>
      <w:r w:rsidR="00B36182">
        <w:rPr>
          <w:sz w:val="24"/>
          <w:szCs w:val="24"/>
        </w:rPr>
        <w:t xml:space="preserve"> </w:t>
      </w:r>
      <w:bookmarkStart w:id="2" w:name="_GoBack"/>
      <w:bookmarkEnd w:id="2"/>
      <w:r w:rsidR="004806AF">
        <w:rPr>
          <w:sz w:val="24"/>
          <w:szCs w:val="24"/>
        </w:rPr>
        <w:t>(</w:t>
      </w:r>
      <w:r w:rsidR="004806AF" w:rsidRPr="004806AF">
        <w:rPr>
          <w:sz w:val="24"/>
          <w:szCs w:val="24"/>
        </w:rPr>
        <w:t>ΦΕΚ 5802/ ΤΕΥΧΟΣ Β/ 31/10/2025</w:t>
      </w:r>
      <w:r w:rsidR="004806AF">
        <w:rPr>
          <w:sz w:val="24"/>
          <w:szCs w:val="24"/>
        </w:rPr>
        <w:t>)</w:t>
      </w:r>
      <w:r w:rsidR="00006DE9">
        <w:rPr>
          <w:sz w:val="24"/>
          <w:szCs w:val="24"/>
        </w:rPr>
        <w:t>.</w:t>
      </w:r>
    </w:p>
    <w:p w14:paraId="7D44FBCD" w14:textId="77777777" w:rsidR="00815935" w:rsidRPr="00E76CE1" w:rsidRDefault="00815935" w:rsidP="00815935">
      <w:pPr>
        <w:spacing w:before="240" w:after="240"/>
        <w:jc w:val="both"/>
        <w:rPr>
          <w:rFonts w:eastAsia="Times New Roman" w:cstheme="minorHAnsi"/>
          <w:sz w:val="24"/>
          <w:szCs w:val="24"/>
        </w:rPr>
      </w:pPr>
      <w:r w:rsidRPr="00E76CE1">
        <w:rPr>
          <w:rFonts w:eastAsia="Times New Roman" w:cstheme="minorHAnsi"/>
          <w:sz w:val="24"/>
          <w:szCs w:val="24"/>
        </w:rPr>
        <w:t>Το επίδομα χορηγείται σε φυσικά πρόσωπα για την κατανάλωση πετρελαίου θέρμανσης, φωτιστικού πετρελαίου, φυσικού αερίου, υγραερίου, καυσόξυλων, και βιομάζας ή θερμικής ενέργειας μέσω τηλεθέρμανσης</w:t>
      </w:r>
      <w:r>
        <w:rPr>
          <w:rFonts w:eastAsia="Times New Roman" w:cstheme="minorHAnsi"/>
          <w:sz w:val="24"/>
          <w:szCs w:val="24"/>
        </w:rPr>
        <w:t xml:space="preserve"> ή ηλεκτρική ενέργεια.</w:t>
      </w:r>
      <w:r w:rsidRPr="00E76CE1">
        <w:rPr>
          <w:rFonts w:eastAsia="Times New Roman" w:cstheme="minorHAnsi"/>
          <w:sz w:val="24"/>
          <w:szCs w:val="24"/>
        </w:rPr>
        <w:t xml:space="preserve"> </w:t>
      </w:r>
    </w:p>
    <w:p w14:paraId="5A7CE38D" w14:textId="77777777" w:rsidR="00815935" w:rsidRDefault="00815935" w:rsidP="00815935">
      <w:pPr>
        <w:spacing w:before="240" w:after="240"/>
        <w:jc w:val="both"/>
        <w:rPr>
          <w:rFonts w:eastAsia="Times New Roman" w:cstheme="minorHAnsi"/>
          <w:sz w:val="24"/>
          <w:szCs w:val="24"/>
        </w:rPr>
      </w:pPr>
      <w:r w:rsidRPr="00E76CE1">
        <w:rPr>
          <w:rFonts w:eastAsia="Times New Roman" w:cstheme="minorHAnsi"/>
          <w:sz w:val="24"/>
          <w:szCs w:val="24"/>
        </w:rPr>
        <w:t>Για τον καθορισμό ενός φυσικού προσώπου ως δικαιούχου πρέπει να πληρούνται τα ακόλουθα εισοδηματικά και περιουσιακά κριτήρια</w:t>
      </w:r>
      <w:r>
        <w:rPr>
          <w:rFonts w:eastAsia="Times New Roman" w:cstheme="minorHAnsi"/>
          <w:sz w:val="24"/>
          <w:szCs w:val="24"/>
        </w:rPr>
        <w:t>:</w:t>
      </w:r>
      <w:r w:rsidRPr="00E76CE1">
        <w:rPr>
          <w:rFonts w:eastAsia="Times New Roman" w:cstheme="minorHAnsi"/>
          <w:sz w:val="24"/>
          <w:szCs w:val="24"/>
        </w:rPr>
        <w:t xml:space="preserve"> </w:t>
      </w:r>
    </w:p>
    <w:p w14:paraId="043290A3" w14:textId="3B7695EF" w:rsidR="00815935" w:rsidRPr="00E76CE1" w:rsidRDefault="00815935" w:rsidP="00815935">
      <w:pPr>
        <w:spacing w:before="240" w:after="240"/>
        <w:jc w:val="both"/>
        <w:rPr>
          <w:rFonts w:eastAsia="Times New Roman" w:cstheme="minorHAnsi"/>
          <w:sz w:val="24"/>
          <w:szCs w:val="24"/>
        </w:rPr>
      </w:pPr>
      <w:r w:rsidRPr="00E76CE1">
        <w:rPr>
          <w:rFonts w:eastAsia="Times New Roman" w:cstheme="minorHAnsi"/>
          <w:sz w:val="24"/>
          <w:szCs w:val="24"/>
        </w:rPr>
        <w:t xml:space="preserve">Το ετήσιο οικογενειακό εισόδημα πρέπει να ανέρχεται έως </w:t>
      </w:r>
      <w:r w:rsidRPr="00D163C8">
        <w:rPr>
          <w:rFonts w:eastAsia="Times New Roman" w:cstheme="minorHAnsi"/>
          <w:b/>
          <w:bCs/>
          <w:sz w:val="24"/>
          <w:szCs w:val="24"/>
        </w:rPr>
        <w:t>τα 16.000</w:t>
      </w:r>
      <w:r>
        <w:rPr>
          <w:rFonts w:eastAsia="Times New Roman" w:cstheme="minorHAnsi"/>
          <w:b/>
          <w:bCs/>
          <w:sz w:val="24"/>
          <w:szCs w:val="24"/>
        </w:rPr>
        <w:t xml:space="preserve"> ευρώ </w:t>
      </w:r>
      <w:r w:rsidRPr="00D163C8">
        <w:rPr>
          <w:rFonts w:eastAsia="Times New Roman" w:cstheme="minorHAnsi"/>
          <w:b/>
          <w:bCs/>
          <w:sz w:val="24"/>
          <w:szCs w:val="24"/>
        </w:rPr>
        <w:t>για μονομελές νοικοκυριό</w:t>
      </w:r>
      <w:r w:rsidRPr="00E76CE1">
        <w:rPr>
          <w:rFonts w:eastAsia="Times New Roman" w:cstheme="minorHAnsi"/>
          <w:sz w:val="24"/>
          <w:szCs w:val="24"/>
        </w:rPr>
        <w:t xml:space="preserve"> και </w:t>
      </w:r>
      <w:r w:rsidRPr="00D163C8">
        <w:rPr>
          <w:rFonts w:eastAsia="Times New Roman" w:cstheme="minorHAnsi"/>
          <w:b/>
          <w:bCs/>
          <w:sz w:val="24"/>
          <w:szCs w:val="24"/>
        </w:rPr>
        <w:t>24.000</w:t>
      </w:r>
      <w:r>
        <w:rPr>
          <w:rFonts w:eastAsia="Times New Roman" w:cstheme="minorHAnsi"/>
          <w:b/>
          <w:bCs/>
          <w:sz w:val="24"/>
          <w:szCs w:val="24"/>
        </w:rPr>
        <w:t xml:space="preserve"> ευρώ </w:t>
      </w:r>
      <w:r w:rsidRPr="00D163C8">
        <w:rPr>
          <w:rFonts w:eastAsia="Times New Roman" w:cstheme="minorHAnsi"/>
          <w:b/>
          <w:bCs/>
          <w:sz w:val="24"/>
          <w:szCs w:val="24"/>
        </w:rPr>
        <w:t>για το ζευγάρι</w:t>
      </w:r>
      <w:r w:rsidRPr="00E76CE1">
        <w:rPr>
          <w:rFonts w:eastAsia="Times New Roman" w:cstheme="minorHAnsi"/>
          <w:sz w:val="24"/>
          <w:szCs w:val="24"/>
        </w:rPr>
        <w:t xml:space="preserve">. Το όριο αυτό προσαυξάνεται κατά </w:t>
      </w:r>
      <w:r w:rsidRPr="00D163C8">
        <w:rPr>
          <w:rFonts w:eastAsia="Times New Roman" w:cstheme="minorHAnsi"/>
          <w:b/>
          <w:bCs/>
          <w:sz w:val="24"/>
          <w:szCs w:val="24"/>
        </w:rPr>
        <w:t>5.000</w:t>
      </w:r>
      <w:r>
        <w:rPr>
          <w:rFonts w:eastAsia="Times New Roman" w:cstheme="minorHAnsi"/>
          <w:b/>
          <w:bCs/>
          <w:sz w:val="24"/>
          <w:szCs w:val="24"/>
        </w:rPr>
        <w:t xml:space="preserve"> ευρώ </w:t>
      </w:r>
      <w:r w:rsidRPr="00D163C8">
        <w:rPr>
          <w:rFonts w:eastAsia="Times New Roman" w:cstheme="minorHAnsi"/>
          <w:b/>
          <w:bCs/>
          <w:sz w:val="24"/>
          <w:szCs w:val="24"/>
        </w:rPr>
        <w:t>για κάθε παιδί</w:t>
      </w:r>
      <w:r w:rsidRPr="00E76CE1">
        <w:rPr>
          <w:rFonts w:eastAsia="Times New Roman" w:cstheme="minorHAnsi"/>
          <w:sz w:val="24"/>
          <w:szCs w:val="24"/>
        </w:rPr>
        <w:t xml:space="preserve">. Για τη </w:t>
      </w:r>
      <w:r w:rsidRPr="00D163C8">
        <w:rPr>
          <w:rFonts w:eastAsia="Times New Roman" w:cstheme="minorHAnsi"/>
          <w:b/>
          <w:bCs/>
          <w:sz w:val="24"/>
          <w:szCs w:val="24"/>
        </w:rPr>
        <w:t>μονογονεϊκή οικογένεια</w:t>
      </w:r>
      <w:r w:rsidRPr="00E76CE1">
        <w:rPr>
          <w:rFonts w:eastAsia="Times New Roman" w:cstheme="minorHAnsi"/>
          <w:sz w:val="24"/>
          <w:szCs w:val="24"/>
        </w:rPr>
        <w:t xml:space="preserve"> το ως άνω εισόδημα ανέρχεται έως </w:t>
      </w:r>
      <w:r w:rsidRPr="00D163C8">
        <w:rPr>
          <w:rFonts w:eastAsia="Times New Roman" w:cstheme="minorHAnsi"/>
          <w:b/>
          <w:bCs/>
          <w:sz w:val="24"/>
          <w:szCs w:val="24"/>
        </w:rPr>
        <w:t>29.000</w:t>
      </w:r>
      <w:r>
        <w:rPr>
          <w:rFonts w:eastAsia="Times New Roman" w:cstheme="minorHAnsi"/>
          <w:b/>
          <w:bCs/>
          <w:sz w:val="24"/>
          <w:szCs w:val="24"/>
        </w:rPr>
        <w:t xml:space="preserve"> ευρώ </w:t>
      </w:r>
      <w:r w:rsidRPr="00E76CE1">
        <w:rPr>
          <w:rFonts w:eastAsia="Times New Roman" w:cstheme="minorHAnsi"/>
          <w:sz w:val="24"/>
          <w:szCs w:val="24"/>
        </w:rPr>
        <w:t xml:space="preserve">το οποίο προσαυξάνεται κατά </w:t>
      </w:r>
      <w:r w:rsidRPr="00D163C8">
        <w:rPr>
          <w:rFonts w:eastAsia="Times New Roman" w:cstheme="minorHAnsi"/>
          <w:b/>
          <w:bCs/>
          <w:sz w:val="24"/>
          <w:szCs w:val="24"/>
        </w:rPr>
        <w:t>5.000</w:t>
      </w:r>
      <w:r>
        <w:rPr>
          <w:rFonts w:eastAsia="Times New Roman" w:cstheme="minorHAnsi"/>
          <w:b/>
          <w:bCs/>
          <w:sz w:val="24"/>
          <w:szCs w:val="24"/>
        </w:rPr>
        <w:t xml:space="preserve"> ευρώ </w:t>
      </w:r>
      <w:r w:rsidRPr="00D163C8">
        <w:rPr>
          <w:rFonts w:eastAsia="Times New Roman" w:cstheme="minorHAnsi"/>
          <w:b/>
          <w:bCs/>
          <w:sz w:val="24"/>
          <w:szCs w:val="24"/>
        </w:rPr>
        <w:t>για κάθε παιδί</w:t>
      </w:r>
      <w:r>
        <w:rPr>
          <w:rFonts w:eastAsia="Times New Roman" w:cstheme="minorHAnsi"/>
          <w:sz w:val="24"/>
          <w:szCs w:val="24"/>
        </w:rPr>
        <w:t xml:space="preserve"> </w:t>
      </w:r>
      <w:r w:rsidRPr="00E76CE1">
        <w:rPr>
          <w:rFonts w:eastAsia="Times New Roman" w:cstheme="minorHAnsi"/>
          <w:sz w:val="24"/>
          <w:szCs w:val="24"/>
        </w:rPr>
        <w:t>μετά το πρώτο.</w:t>
      </w:r>
      <w:r>
        <w:rPr>
          <w:rFonts w:eastAsia="Times New Roman" w:cstheme="minorHAnsi"/>
          <w:sz w:val="24"/>
          <w:szCs w:val="24"/>
        </w:rPr>
        <w:t xml:space="preserve"> Τ</w:t>
      </w:r>
      <w:r w:rsidRPr="00E76CE1">
        <w:rPr>
          <w:rFonts w:eastAsia="Times New Roman" w:cstheme="minorHAnsi"/>
          <w:sz w:val="24"/>
          <w:szCs w:val="24"/>
        </w:rPr>
        <w:t xml:space="preserve">α συνολικά ακαθάριστα έσοδα του νοικοκυριού από επιχειρηματική </w:t>
      </w:r>
      <w:r w:rsidRPr="00E76CE1">
        <w:rPr>
          <w:rFonts w:eastAsia="Times New Roman" w:cstheme="minorHAnsi"/>
          <w:sz w:val="24"/>
          <w:szCs w:val="24"/>
        </w:rPr>
        <w:lastRenderedPageBreak/>
        <w:t xml:space="preserve">δραστηριότητα </w:t>
      </w:r>
      <w:r>
        <w:rPr>
          <w:rFonts w:eastAsia="Times New Roman" w:cstheme="minorHAnsi"/>
          <w:sz w:val="24"/>
          <w:szCs w:val="24"/>
        </w:rPr>
        <w:t xml:space="preserve">δεν πρέπει </w:t>
      </w:r>
      <w:r w:rsidRPr="00E76CE1">
        <w:rPr>
          <w:rFonts w:eastAsia="Times New Roman" w:cstheme="minorHAnsi"/>
          <w:sz w:val="24"/>
          <w:szCs w:val="24"/>
        </w:rPr>
        <w:t>να υπερβαίνουν το ποσό των 80.000</w:t>
      </w:r>
      <w:r>
        <w:rPr>
          <w:rFonts w:eastAsia="Times New Roman" w:cstheme="minorHAnsi"/>
          <w:sz w:val="24"/>
          <w:szCs w:val="24"/>
        </w:rPr>
        <w:t xml:space="preserve"> ευρώ, </w:t>
      </w:r>
      <w:r w:rsidRPr="00E76CE1">
        <w:rPr>
          <w:rFonts w:eastAsia="Times New Roman" w:cstheme="minorHAnsi"/>
          <w:sz w:val="24"/>
          <w:szCs w:val="24"/>
        </w:rPr>
        <w:t>με σκοπό την καλύτερη στόχευση των δικαιούχων</w:t>
      </w:r>
      <w:r w:rsidR="00B36182">
        <w:rPr>
          <w:rFonts w:eastAsia="Times New Roman" w:cstheme="minorHAnsi"/>
          <w:sz w:val="24"/>
          <w:szCs w:val="24"/>
        </w:rPr>
        <w:t>.</w:t>
      </w:r>
    </w:p>
    <w:p w14:paraId="09CEAED5" w14:textId="4F62CE83" w:rsidR="00815935" w:rsidRPr="00E76CE1" w:rsidRDefault="00815935" w:rsidP="00815935">
      <w:pPr>
        <w:spacing w:before="240" w:after="240"/>
        <w:jc w:val="both"/>
        <w:rPr>
          <w:rFonts w:eastAsia="Times New Roman" w:cstheme="minorHAnsi"/>
          <w:sz w:val="24"/>
          <w:szCs w:val="24"/>
        </w:rPr>
      </w:pPr>
      <w:r w:rsidRPr="00E76CE1">
        <w:rPr>
          <w:rFonts w:eastAsia="Times New Roman" w:cstheme="minorHAnsi"/>
          <w:sz w:val="24"/>
          <w:szCs w:val="24"/>
        </w:rPr>
        <w:t xml:space="preserve">Τα περιουσιακά στοιχεία των δικαιούχων, όπως αυτά προκύπτουν από την πράξη διοικητικού προσδιορισμού ΕΝΦΙΑ του έτους </w:t>
      </w:r>
      <w:r w:rsidR="00AA3801" w:rsidRPr="00727CF2">
        <w:rPr>
          <w:rFonts w:eastAsia="Times New Roman" w:cstheme="minorHAnsi"/>
          <w:sz w:val="24"/>
          <w:szCs w:val="24"/>
        </w:rPr>
        <w:t>2025</w:t>
      </w:r>
      <w:r w:rsidRPr="00727CF2">
        <w:rPr>
          <w:rFonts w:eastAsia="Times New Roman" w:cstheme="minorHAnsi"/>
          <w:sz w:val="24"/>
          <w:szCs w:val="24"/>
        </w:rPr>
        <w:t>,</w:t>
      </w:r>
      <w:r w:rsidRPr="00E76CE1">
        <w:rPr>
          <w:rFonts w:eastAsia="Times New Roman" w:cstheme="minorHAnsi"/>
          <w:sz w:val="24"/>
          <w:szCs w:val="24"/>
        </w:rPr>
        <w:t xml:space="preserve"> δεν πρέπει να υπερβαίν</w:t>
      </w:r>
      <w:r>
        <w:rPr>
          <w:rFonts w:eastAsia="Times New Roman" w:cstheme="minorHAnsi"/>
          <w:sz w:val="24"/>
          <w:szCs w:val="24"/>
        </w:rPr>
        <w:t>ουν</w:t>
      </w:r>
      <w:r w:rsidRPr="00E76CE1">
        <w:rPr>
          <w:rFonts w:eastAsia="Times New Roman" w:cstheme="minorHAnsi"/>
          <w:sz w:val="24"/>
          <w:szCs w:val="24"/>
        </w:rPr>
        <w:t xml:space="preserve"> τις 200.000</w:t>
      </w:r>
      <w:r>
        <w:rPr>
          <w:rFonts w:eastAsia="Times New Roman" w:cstheme="minorHAnsi"/>
          <w:sz w:val="24"/>
          <w:szCs w:val="24"/>
        </w:rPr>
        <w:t xml:space="preserve"> ευρώ </w:t>
      </w:r>
      <w:r w:rsidRPr="00E76CE1">
        <w:rPr>
          <w:rFonts w:eastAsia="Times New Roman" w:cstheme="minorHAnsi"/>
          <w:sz w:val="24"/>
          <w:szCs w:val="24"/>
        </w:rPr>
        <w:t xml:space="preserve">για τους άγαμους, τους υπόχρεους σε κατάσταση χηρείας ή εν διαστάσει και τις </w:t>
      </w:r>
      <w:r>
        <w:rPr>
          <w:rFonts w:eastAsia="Times New Roman" w:cstheme="minorHAnsi"/>
          <w:sz w:val="24"/>
          <w:szCs w:val="24"/>
        </w:rPr>
        <w:t>26</w:t>
      </w:r>
      <w:r w:rsidRPr="00E76CE1">
        <w:rPr>
          <w:rFonts w:eastAsia="Times New Roman" w:cstheme="minorHAnsi"/>
          <w:sz w:val="24"/>
          <w:szCs w:val="24"/>
        </w:rPr>
        <w:t>0.000</w:t>
      </w:r>
      <w:r>
        <w:rPr>
          <w:rFonts w:eastAsia="Times New Roman" w:cstheme="minorHAnsi"/>
          <w:sz w:val="24"/>
          <w:szCs w:val="24"/>
        </w:rPr>
        <w:t xml:space="preserve"> ευρώ </w:t>
      </w:r>
      <w:r w:rsidRPr="00E76CE1">
        <w:rPr>
          <w:rFonts w:eastAsia="Times New Roman" w:cstheme="minorHAnsi"/>
          <w:sz w:val="24"/>
          <w:szCs w:val="24"/>
        </w:rPr>
        <w:t xml:space="preserve">για τους έγγαμους ή μέρη συμφώνου συμβίωσης και τις μονογονεϊκές οικογένειες. </w:t>
      </w:r>
      <w:r>
        <w:rPr>
          <w:rFonts w:eastAsia="Times New Roman" w:cstheme="minorHAnsi"/>
          <w:sz w:val="24"/>
          <w:szCs w:val="24"/>
        </w:rPr>
        <w:t>Σε κάθε περίπτωση το ποσό προσαυξάνεται κατά 40.000 ευρώ για κάθε εξαρτώμενο τέκνο</w:t>
      </w:r>
      <w:r w:rsidR="00B36182">
        <w:rPr>
          <w:rFonts w:eastAsia="Times New Roman" w:cstheme="minorHAnsi"/>
          <w:sz w:val="24"/>
          <w:szCs w:val="24"/>
        </w:rPr>
        <w:t>.</w:t>
      </w:r>
    </w:p>
    <w:p w14:paraId="5915C8A4" w14:textId="77777777" w:rsidR="00815935" w:rsidRDefault="00815935" w:rsidP="00815935">
      <w:pPr>
        <w:spacing w:before="240" w:after="240"/>
        <w:jc w:val="both"/>
        <w:rPr>
          <w:rFonts w:eastAsia="Times New Roman" w:cstheme="minorHAnsi"/>
          <w:sz w:val="24"/>
          <w:szCs w:val="24"/>
        </w:rPr>
      </w:pPr>
      <w:r w:rsidRPr="00E76CE1">
        <w:rPr>
          <w:rFonts w:eastAsia="Times New Roman" w:cstheme="minorHAnsi"/>
          <w:sz w:val="24"/>
          <w:szCs w:val="24"/>
        </w:rPr>
        <w:t>Για τον υπολογισμό του επιδόματος λαμβάνονται υπόψη μια σειρά από παράγοντες</w:t>
      </w:r>
      <w:r>
        <w:rPr>
          <w:rFonts w:eastAsia="Times New Roman" w:cstheme="minorHAnsi"/>
          <w:sz w:val="24"/>
          <w:szCs w:val="24"/>
        </w:rPr>
        <w:t>,</w:t>
      </w:r>
      <w:r w:rsidRPr="00E76CE1">
        <w:rPr>
          <w:rFonts w:eastAsia="Times New Roman" w:cstheme="minorHAnsi"/>
          <w:sz w:val="24"/>
          <w:szCs w:val="24"/>
        </w:rPr>
        <w:t xml:space="preserve"> όπως η δριμύτητα του κλίματος κάθε περιοχής και η απαιτούμενη κατανάλωση ενέργειας για τη θέρμανση ενός κτιρίου. </w:t>
      </w:r>
    </w:p>
    <w:p w14:paraId="33BF1C50" w14:textId="5023009E" w:rsidR="00815935" w:rsidRPr="00E76CE1" w:rsidRDefault="00815935" w:rsidP="00815935">
      <w:pPr>
        <w:spacing w:before="240" w:after="240"/>
        <w:jc w:val="both"/>
        <w:rPr>
          <w:rFonts w:eastAsia="Times New Roman" w:cstheme="minorHAnsi"/>
          <w:sz w:val="24"/>
          <w:szCs w:val="24"/>
        </w:rPr>
      </w:pPr>
      <w:r w:rsidRPr="00E76CE1">
        <w:rPr>
          <w:rFonts w:eastAsia="Times New Roman" w:cstheme="minorHAnsi"/>
          <w:sz w:val="24"/>
          <w:szCs w:val="24"/>
        </w:rPr>
        <w:t>Το επίδομα που θα λάβει κάθε δικαιούχος δε</w:t>
      </w:r>
      <w:r>
        <w:rPr>
          <w:rFonts w:eastAsia="Times New Roman" w:cstheme="minorHAnsi"/>
          <w:sz w:val="24"/>
          <w:szCs w:val="24"/>
        </w:rPr>
        <w:t>ν</w:t>
      </w:r>
      <w:r w:rsidRPr="00E76CE1">
        <w:rPr>
          <w:rFonts w:eastAsia="Times New Roman" w:cstheme="minorHAnsi"/>
          <w:sz w:val="24"/>
          <w:szCs w:val="24"/>
        </w:rPr>
        <w:t xml:space="preserve"> μπορεί να είναι μικρότερο των 100</w:t>
      </w:r>
      <w:r>
        <w:rPr>
          <w:rFonts w:eastAsia="Times New Roman" w:cstheme="minorHAnsi"/>
          <w:sz w:val="24"/>
          <w:szCs w:val="24"/>
        </w:rPr>
        <w:t xml:space="preserve"> ευρώ</w:t>
      </w:r>
      <w:r w:rsidRPr="00E76CE1">
        <w:rPr>
          <w:rFonts w:eastAsia="Times New Roman" w:cstheme="minorHAnsi"/>
          <w:sz w:val="24"/>
          <w:szCs w:val="24"/>
        </w:rPr>
        <w:t>, ούτε να υπερβαίνει τα 800</w:t>
      </w:r>
      <w:r>
        <w:rPr>
          <w:rFonts w:eastAsia="Times New Roman" w:cstheme="minorHAnsi"/>
          <w:sz w:val="24"/>
          <w:szCs w:val="24"/>
        </w:rPr>
        <w:t xml:space="preserve"> ευρώ. </w:t>
      </w:r>
      <w:r w:rsidRPr="00E76CE1">
        <w:rPr>
          <w:rFonts w:eastAsia="Times New Roman" w:cstheme="minorHAnsi"/>
          <w:sz w:val="24"/>
          <w:szCs w:val="24"/>
        </w:rPr>
        <w:t>Το ανώτατο ποσό αυξάνεται μέχρι το ποσό των 1.</w:t>
      </w:r>
      <w:r>
        <w:rPr>
          <w:rFonts w:eastAsia="Times New Roman" w:cstheme="minorHAnsi"/>
          <w:sz w:val="24"/>
          <w:szCs w:val="24"/>
        </w:rPr>
        <w:t>2</w:t>
      </w:r>
      <w:r w:rsidRPr="00E76CE1">
        <w:rPr>
          <w:rFonts w:eastAsia="Times New Roman" w:cstheme="minorHAnsi"/>
          <w:sz w:val="24"/>
          <w:szCs w:val="24"/>
        </w:rPr>
        <w:t>00</w:t>
      </w:r>
      <w:r>
        <w:rPr>
          <w:rFonts w:eastAsia="Times New Roman" w:cstheme="minorHAnsi"/>
          <w:sz w:val="24"/>
          <w:szCs w:val="24"/>
        </w:rPr>
        <w:t xml:space="preserve"> ευρώ </w:t>
      </w:r>
      <w:r w:rsidRPr="00E76CE1">
        <w:rPr>
          <w:rFonts w:eastAsia="Times New Roman" w:cstheme="minorHAnsi"/>
          <w:sz w:val="24"/>
          <w:szCs w:val="24"/>
        </w:rPr>
        <w:t xml:space="preserve">για οικισμούς με αυξημένες ενεργειακές ανάγκες. Μόνο ένα είδος καυσίμου δύναται να επιδοτηθεί ανά δικαιούχο και για αγορές τουλάχιστον διπλάσιας αξίας των επιδοτούμενων ειδών καυσίμων θέρμανσης. </w:t>
      </w:r>
    </w:p>
    <w:p w14:paraId="45ADEFA5" w14:textId="77777777" w:rsidR="00815935" w:rsidRPr="00E76CE1" w:rsidRDefault="00815935" w:rsidP="00815935">
      <w:pPr>
        <w:spacing w:before="240" w:after="240"/>
        <w:jc w:val="both"/>
        <w:rPr>
          <w:rFonts w:eastAsia="Times New Roman" w:cstheme="minorHAnsi"/>
          <w:sz w:val="24"/>
          <w:szCs w:val="24"/>
        </w:rPr>
      </w:pPr>
      <w:r w:rsidRPr="00E76CE1">
        <w:rPr>
          <w:rFonts w:eastAsia="Times New Roman" w:cstheme="minorHAnsi"/>
          <w:sz w:val="24"/>
          <w:szCs w:val="24"/>
        </w:rPr>
        <w:t xml:space="preserve">Οι αγορές των </w:t>
      </w:r>
      <w:r w:rsidRPr="00AE3E6C">
        <w:rPr>
          <w:rFonts w:eastAsia="Times New Roman" w:cstheme="minorHAnsi"/>
          <w:b/>
          <w:bCs/>
          <w:sz w:val="24"/>
          <w:szCs w:val="24"/>
        </w:rPr>
        <w:t>καυσίμων θέρμανσης ή θερμικής ενέργειας</w:t>
      </w:r>
      <w:r w:rsidRPr="00E76CE1">
        <w:rPr>
          <w:rFonts w:eastAsia="Times New Roman" w:cstheme="minorHAnsi"/>
          <w:sz w:val="24"/>
          <w:szCs w:val="24"/>
        </w:rPr>
        <w:t xml:space="preserve"> πρέπει να γίνουν </w:t>
      </w:r>
      <w:r w:rsidRPr="00AE3E6C">
        <w:rPr>
          <w:rFonts w:eastAsia="Times New Roman" w:cstheme="minorHAnsi"/>
          <w:b/>
          <w:bCs/>
          <w:sz w:val="24"/>
          <w:szCs w:val="24"/>
        </w:rPr>
        <w:t>μεταξύ της 1</w:t>
      </w:r>
      <w:r w:rsidRPr="00AE3E6C">
        <w:rPr>
          <w:rFonts w:eastAsia="Times New Roman" w:cstheme="minorHAnsi"/>
          <w:b/>
          <w:bCs/>
          <w:sz w:val="24"/>
          <w:szCs w:val="24"/>
          <w:vertAlign w:val="superscript"/>
        </w:rPr>
        <w:t>ης</w:t>
      </w:r>
      <w:r w:rsidRPr="00AE3E6C">
        <w:rPr>
          <w:rFonts w:eastAsia="Times New Roman" w:cstheme="minorHAnsi"/>
          <w:b/>
          <w:bCs/>
          <w:sz w:val="24"/>
          <w:szCs w:val="24"/>
        </w:rPr>
        <w:t xml:space="preserve"> Οκτωβρίου 202</w:t>
      </w:r>
      <w:r>
        <w:rPr>
          <w:rFonts w:eastAsia="Times New Roman" w:cstheme="minorHAnsi"/>
          <w:b/>
          <w:bCs/>
          <w:sz w:val="24"/>
          <w:szCs w:val="24"/>
        </w:rPr>
        <w:t>5</w:t>
      </w:r>
      <w:r w:rsidRPr="00AE3E6C">
        <w:rPr>
          <w:rFonts w:eastAsia="Times New Roman" w:cstheme="minorHAnsi"/>
          <w:b/>
          <w:bCs/>
          <w:sz w:val="24"/>
          <w:szCs w:val="24"/>
        </w:rPr>
        <w:t xml:space="preserve"> και της 31</w:t>
      </w:r>
      <w:r w:rsidRPr="00AE3E6C">
        <w:rPr>
          <w:rFonts w:eastAsia="Times New Roman" w:cstheme="minorHAnsi"/>
          <w:b/>
          <w:bCs/>
          <w:sz w:val="24"/>
          <w:szCs w:val="24"/>
          <w:vertAlign w:val="superscript"/>
        </w:rPr>
        <w:t>ης</w:t>
      </w:r>
      <w:r w:rsidRPr="00AE3E6C">
        <w:rPr>
          <w:rFonts w:eastAsia="Times New Roman" w:cstheme="minorHAnsi"/>
          <w:b/>
          <w:bCs/>
          <w:sz w:val="24"/>
          <w:szCs w:val="24"/>
        </w:rPr>
        <w:t xml:space="preserve"> Μαρτίου 202</w:t>
      </w:r>
      <w:r>
        <w:rPr>
          <w:rFonts w:eastAsia="Times New Roman" w:cstheme="minorHAnsi"/>
          <w:b/>
          <w:bCs/>
          <w:sz w:val="24"/>
          <w:szCs w:val="24"/>
        </w:rPr>
        <w:t>6</w:t>
      </w:r>
      <w:r w:rsidRPr="00E76CE1">
        <w:rPr>
          <w:rFonts w:eastAsia="Times New Roman" w:cstheme="minorHAnsi"/>
          <w:sz w:val="24"/>
          <w:szCs w:val="24"/>
        </w:rPr>
        <w:t>. Ειδικά για το πετρέλαιο θέρμανσης η περίοδος επιδότησης αρχίζει από την 1</w:t>
      </w:r>
      <w:r>
        <w:rPr>
          <w:rFonts w:eastAsia="Times New Roman" w:cstheme="minorHAnsi"/>
          <w:sz w:val="24"/>
          <w:szCs w:val="24"/>
        </w:rPr>
        <w:t>5</w:t>
      </w:r>
      <w:r w:rsidRPr="00E76CE1">
        <w:rPr>
          <w:rFonts w:eastAsia="Times New Roman" w:cstheme="minorHAnsi"/>
          <w:sz w:val="24"/>
          <w:szCs w:val="24"/>
          <w:vertAlign w:val="superscript"/>
        </w:rPr>
        <w:t>η</w:t>
      </w:r>
      <w:r w:rsidRPr="00E76CE1">
        <w:rPr>
          <w:rFonts w:eastAsia="Times New Roman" w:cstheme="minorHAnsi"/>
          <w:sz w:val="24"/>
          <w:szCs w:val="24"/>
        </w:rPr>
        <w:t xml:space="preserve"> Οκτωβρίου 202</w:t>
      </w:r>
      <w:r>
        <w:rPr>
          <w:rFonts w:eastAsia="Times New Roman" w:cstheme="minorHAnsi"/>
          <w:sz w:val="24"/>
          <w:szCs w:val="24"/>
        </w:rPr>
        <w:t>5</w:t>
      </w:r>
      <w:r w:rsidRPr="00E76CE1">
        <w:rPr>
          <w:rFonts w:eastAsia="Times New Roman" w:cstheme="minorHAnsi"/>
          <w:sz w:val="24"/>
          <w:szCs w:val="24"/>
        </w:rPr>
        <w:t xml:space="preserve"> και στην τιμή 1,</w:t>
      </w:r>
      <w:r>
        <w:rPr>
          <w:rFonts w:eastAsia="Times New Roman" w:cstheme="minorHAnsi"/>
          <w:sz w:val="24"/>
          <w:szCs w:val="24"/>
        </w:rPr>
        <w:t>1</w:t>
      </w:r>
      <w:r w:rsidRPr="00E76CE1">
        <w:rPr>
          <w:rFonts w:eastAsia="Times New Roman" w:cstheme="minorHAnsi"/>
          <w:sz w:val="24"/>
          <w:szCs w:val="24"/>
        </w:rPr>
        <w:t>4€/λίτρο. Τέλος</w:t>
      </w:r>
      <w:r>
        <w:rPr>
          <w:rFonts w:eastAsia="Times New Roman" w:cstheme="minorHAnsi"/>
          <w:sz w:val="24"/>
          <w:szCs w:val="24"/>
        </w:rPr>
        <w:t>,</w:t>
      </w:r>
      <w:r w:rsidRPr="00E76CE1">
        <w:rPr>
          <w:rFonts w:eastAsia="Times New Roman" w:cstheme="minorHAnsi"/>
          <w:sz w:val="24"/>
          <w:szCs w:val="24"/>
        </w:rPr>
        <w:t xml:space="preserve"> για την επιδότηση </w:t>
      </w:r>
      <w:r w:rsidRPr="00AE3E6C">
        <w:rPr>
          <w:rFonts w:eastAsia="Times New Roman" w:cstheme="minorHAnsi"/>
          <w:b/>
          <w:bCs/>
          <w:sz w:val="24"/>
          <w:szCs w:val="24"/>
        </w:rPr>
        <w:t>καυσόξυλων</w:t>
      </w:r>
      <w:r>
        <w:rPr>
          <w:rFonts w:eastAsia="Times New Roman" w:cstheme="minorHAnsi"/>
          <w:b/>
          <w:bCs/>
          <w:sz w:val="24"/>
          <w:szCs w:val="24"/>
        </w:rPr>
        <w:t xml:space="preserve"> και της βιομάζας (</w:t>
      </w:r>
      <w:proofErr w:type="spellStart"/>
      <w:r>
        <w:rPr>
          <w:rFonts w:eastAsia="Times New Roman" w:cstheme="minorHAnsi"/>
          <w:b/>
          <w:bCs/>
          <w:sz w:val="24"/>
          <w:szCs w:val="24"/>
        </w:rPr>
        <w:t>πέλετ</w:t>
      </w:r>
      <w:proofErr w:type="spellEnd"/>
      <w:r>
        <w:rPr>
          <w:rFonts w:eastAsia="Times New Roman" w:cstheme="minorHAnsi"/>
          <w:b/>
          <w:bCs/>
          <w:sz w:val="24"/>
          <w:szCs w:val="24"/>
        </w:rPr>
        <w:t>)</w:t>
      </w:r>
      <w:r w:rsidRPr="00E76CE1">
        <w:rPr>
          <w:rFonts w:eastAsia="Times New Roman" w:cstheme="minorHAnsi"/>
          <w:sz w:val="24"/>
          <w:szCs w:val="24"/>
        </w:rPr>
        <w:t xml:space="preserve">, οι αγορές θα πρέπει να έχουν πραγματοποιηθεί από την </w:t>
      </w:r>
      <w:r w:rsidRPr="00AE3E6C">
        <w:rPr>
          <w:rFonts w:eastAsia="Times New Roman" w:cstheme="minorHAnsi"/>
          <w:b/>
          <w:bCs/>
          <w:sz w:val="24"/>
          <w:szCs w:val="24"/>
        </w:rPr>
        <w:t>1η Ιουνίου 202</w:t>
      </w:r>
      <w:r>
        <w:rPr>
          <w:rFonts w:eastAsia="Times New Roman" w:cstheme="minorHAnsi"/>
          <w:b/>
          <w:bCs/>
          <w:sz w:val="24"/>
          <w:szCs w:val="24"/>
        </w:rPr>
        <w:t>5</w:t>
      </w:r>
      <w:r w:rsidRPr="00AE3E6C">
        <w:rPr>
          <w:rFonts w:eastAsia="Times New Roman" w:cstheme="minorHAnsi"/>
          <w:b/>
          <w:bCs/>
          <w:sz w:val="24"/>
          <w:szCs w:val="24"/>
        </w:rPr>
        <w:t xml:space="preserve"> έως και την 31η Μαρτίου 202</w:t>
      </w:r>
      <w:r>
        <w:rPr>
          <w:rFonts w:eastAsia="Times New Roman" w:cstheme="minorHAnsi"/>
          <w:b/>
          <w:bCs/>
          <w:sz w:val="24"/>
          <w:szCs w:val="24"/>
        </w:rPr>
        <w:t>6</w:t>
      </w:r>
      <w:r w:rsidRPr="00E76CE1">
        <w:rPr>
          <w:rFonts w:eastAsia="Times New Roman" w:cstheme="minorHAnsi"/>
          <w:sz w:val="24"/>
          <w:szCs w:val="24"/>
        </w:rPr>
        <w:t xml:space="preserve">. </w:t>
      </w:r>
    </w:p>
    <w:p w14:paraId="3CCF6AD4" w14:textId="77777777" w:rsidR="00815935" w:rsidRPr="00E76CE1" w:rsidRDefault="00815935" w:rsidP="00815935">
      <w:pPr>
        <w:spacing w:before="240" w:after="240"/>
        <w:jc w:val="both"/>
        <w:rPr>
          <w:rFonts w:eastAsia="Times New Roman" w:cstheme="minorHAnsi"/>
          <w:sz w:val="24"/>
          <w:szCs w:val="24"/>
        </w:rPr>
      </w:pPr>
      <w:r w:rsidRPr="009B5E84">
        <w:rPr>
          <w:rFonts w:eastAsia="Times New Roman" w:cstheme="minorHAnsi"/>
          <w:b/>
          <w:bCs/>
          <w:sz w:val="24"/>
          <w:szCs w:val="24"/>
        </w:rPr>
        <w:t>Η έναρξη των αιτήσεων αναμένεται εντός του πρώτου δεκαπενθημέρου του Νοεμβρίου.</w:t>
      </w:r>
      <w:r w:rsidRPr="00E76CE1">
        <w:rPr>
          <w:rFonts w:eastAsia="Times New Roman" w:cstheme="minorHAnsi"/>
          <w:sz w:val="24"/>
          <w:szCs w:val="24"/>
        </w:rPr>
        <w:t xml:space="preserve"> Εφόσον η αίτηση υποβληθεί από τους δυνητικούς δικαιούχους έως την </w:t>
      </w:r>
      <w:r>
        <w:rPr>
          <w:rFonts w:eastAsia="Times New Roman" w:cstheme="minorHAnsi"/>
          <w:sz w:val="24"/>
          <w:szCs w:val="24"/>
          <w:vertAlign w:val="superscript"/>
        </w:rPr>
        <w:t xml:space="preserve"> </w:t>
      </w:r>
      <w:r>
        <w:rPr>
          <w:rFonts w:eastAsia="Times New Roman" w:cstheme="minorHAnsi"/>
          <w:sz w:val="24"/>
          <w:szCs w:val="24"/>
        </w:rPr>
        <w:t xml:space="preserve"> 5</w:t>
      </w:r>
      <w:r w:rsidRPr="008B0285">
        <w:rPr>
          <w:rFonts w:eastAsia="Times New Roman" w:cstheme="minorHAnsi"/>
          <w:sz w:val="24"/>
          <w:szCs w:val="24"/>
          <w:vertAlign w:val="superscript"/>
        </w:rPr>
        <w:t>η</w:t>
      </w:r>
      <w:r>
        <w:rPr>
          <w:rFonts w:eastAsia="Times New Roman" w:cstheme="minorHAnsi"/>
          <w:sz w:val="24"/>
          <w:szCs w:val="24"/>
        </w:rPr>
        <w:t xml:space="preserve"> </w:t>
      </w:r>
      <w:r w:rsidRPr="00E76CE1">
        <w:rPr>
          <w:rFonts w:eastAsia="Times New Roman" w:cstheme="minorHAnsi"/>
          <w:sz w:val="24"/>
          <w:szCs w:val="24"/>
        </w:rPr>
        <w:t xml:space="preserve"> Δεκεμβρίου 202</w:t>
      </w:r>
      <w:r>
        <w:rPr>
          <w:rFonts w:eastAsia="Times New Roman" w:cstheme="minorHAnsi"/>
          <w:sz w:val="24"/>
          <w:szCs w:val="24"/>
        </w:rPr>
        <w:t>5</w:t>
      </w:r>
      <w:r w:rsidRPr="00E76CE1">
        <w:rPr>
          <w:rFonts w:eastAsia="Times New Roman" w:cstheme="minorHAnsi"/>
          <w:sz w:val="24"/>
          <w:szCs w:val="24"/>
        </w:rPr>
        <w:t xml:space="preserve">, τότε θα λάβουν ως προκαταβολή το </w:t>
      </w:r>
      <w:r>
        <w:rPr>
          <w:rFonts w:eastAsia="Times New Roman" w:cstheme="minorHAnsi"/>
          <w:sz w:val="24"/>
          <w:szCs w:val="24"/>
        </w:rPr>
        <w:t xml:space="preserve">60% του </w:t>
      </w:r>
      <w:r w:rsidRPr="00E76CE1">
        <w:rPr>
          <w:rFonts w:eastAsia="Times New Roman" w:cstheme="minorHAnsi"/>
          <w:sz w:val="24"/>
          <w:szCs w:val="24"/>
        </w:rPr>
        <w:t>ποσ</w:t>
      </w:r>
      <w:r>
        <w:rPr>
          <w:rFonts w:eastAsia="Times New Roman" w:cstheme="minorHAnsi"/>
          <w:sz w:val="24"/>
          <w:szCs w:val="24"/>
        </w:rPr>
        <w:t>ού</w:t>
      </w:r>
      <w:r w:rsidRPr="00E76CE1">
        <w:rPr>
          <w:rFonts w:eastAsia="Times New Roman" w:cstheme="minorHAnsi"/>
          <w:sz w:val="24"/>
          <w:szCs w:val="24"/>
        </w:rPr>
        <w:t xml:space="preserve"> του επιδόματος που τους είχε καταβληθεί κατά την περυσινή </w:t>
      </w:r>
      <w:r>
        <w:rPr>
          <w:rFonts w:eastAsia="Times New Roman" w:cstheme="minorHAnsi"/>
          <w:sz w:val="24"/>
          <w:szCs w:val="24"/>
        </w:rPr>
        <w:t xml:space="preserve">χειμερινή </w:t>
      </w:r>
      <w:r w:rsidRPr="00E76CE1">
        <w:rPr>
          <w:rFonts w:eastAsia="Times New Roman" w:cstheme="minorHAnsi"/>
          <w:sz w:val="24"/>
          <w:szCs w:val="24"/>
        </w:rPr>
        <w:t xml:space="preserve">περίοδο </w:t>
      </w:r>
      <w:r>
        <w:rPr>
          <w:rFonts w:eastAsia="Times New Roman" w:cstheme="minorHAnsi"/>
          <w:sz w:val="24"/>
          <w:szCs w:val="24"/>
        </w:rPr>
        <w:t>2024-2025</w:t>
      </w:r>
      <w:r w:rsidRPr="00E76CE1">
        <w:rPr>
          <w:rFonts w:eastAsia="Times New Roman" w:cstheme="minorHAnsi"/>
          <w:sz w:val="24"/>
          <w:szCs w:val="24"/>
        </w:rPr>
        <w:t xml:space="preserve">. </w:t>
      </w:r>
    </w:p>
    <w:p w14:paraId="7C421157" w14:textId="4461C43A" w:rsidR="00815935" w:rsidRPr="00E76CE1" w:rsidRDefault="00815935" w:rsidP="00815935">
      <w:pPr>
        <w:spacing w:before="240" w:after="240"/>
        <w:jc w:val="both"/>
        <w:rPr>
          <w:rFonts w:eastAsia="Times New Roman" w:cstheme="minorHAnsi"/>
          <w:sz w:val="24"/>
          <w:szCs w:val="24"/>
        </w:rPr>
      </w:pPr>
      <w:r w:rsidRPr="00727CF2">
        <w:rPr>
          <w:rFonts w:eastAsia="Times New Roman" w:cstheme="minorHAnsi"/>
          <w:sz w:val="24"/>
          <w:szCs w:val="24"/>
        </w:rPr>
        <w:t xml:space="preserve">Οι ενδιαφερόμενοι υποβάλλουν τις αιτήσεις τους, ηλεκτρονικά, μέσω της πλατφόρμας </w:t>
      </w:r>
      <w:proofErr w:type="spellStart"/>
      <w:r w:rsidRPr="00727CF2">
        <w:rPr>
          <w:rFonts w:eastAsia="Times New Roman" w:cstheme="minorHAnsi"/>
          <w:sz w:val="24"/>
          <w:szCs w:val="24"/>
        </w:rPr>
        <w:t>myΘέρμανση</w:t>
      </w:r>
      <w:proofErr w:type="spellEnd"/>
      <w:r w:rsidRPr="00727CF2">
        <w:rPr>
          <w:rFonts w:eastAsia="Times New Roman" w:cstheme="minorHAnsi"/>
          <w:sz w:val="24"/>
          <w:szCs w:val="24"/>
        </w:rPr>
        <w:t xml:space="preserve"> </w:t>
      </w:r>
      <w:r w:rsidR="00AF25E2" w:rsidRPr="00727CF2">
        <w:rPr>
          <w:rFonts w:eastAsia="Times New Roman" w:cstheme="minorHAnsi"/>
          <w:sz w:val="24"/>
          <w:szCs w:val="24"/>
        </w:rPr>
        <w:t xml:space="preserve">στην ψηφιακής πύλη </w:t>
      </w:r>
      <w:r w:rsidR="00AF25E2" w:rsidRPr="00727CF2">
        <w:rPr>
          <w:rFonts w:eastAsia="Times New Roman" w:cstheme="minorHAnsi"/>
          <w:b/>
          <w:bCs/>
          <w:sz w:val="24"/>
          <w:szCs w:val="24"/>
        </w:rPr>
        <w:t xml:space="preserve">myAADE </w:t>
      </w:r>
      <w:r w:rsidR="00AF25E2" w:rsidRPr="00727CF2">
        <w:rPr>
          <w:rFonts w:eastAsia="Times New Roman" w:cstheme="minorHAnsi"/>
          <w:bCs/>
          <w:sz w:val="24"/>
          <w:szCs w:val="24"/>
        </w:rPr>
        <w:t>(</w:t>
      </w:r>
      <w:proofErr w:type="spellStart"/>
      <w:r w:rsidR="00AF25E2" w:rsidRPr="00727CF2">
        <w:rPr>
          <w:rFonts w:eastAsia="Times New Roman" w:cstheme="minorHAnsi"/>
          <w:bCs/>
          <w:sz w:val="24"/>
          <w:szCs w:val="24"/>
          <w:lang w:val="en-US"/>
        </w:rPr>
        <w:t>myaade</w:t>
      </w:r>
      <w:proofErr w:type="spellEnd"/>
      <w:r w:rsidR="00AF25E2" w:rsidRPr="00727CF2">
        <w:rPr>
          <w:rFonts w:eastAsia="Times New Roman" w:cstheme="minorHAnsi"/>
          <w:bCs/>
          <w:sz w:val="24"/>
          <w:szCs w:val="24"/>
        </w:rPr>
        <w:t>.</w:t>
      </w:r>
      <w:r w:rsidR="00AF25E2" w:rsidRPr="00727CF2">
        <w:rPr>
          <w:rFonts w:eastAsia="Times New Roman" w:cstheme="minorHAnsi"/>
          <w:bCs/>
          <w:sz w:val="24"/>
          <w:szCs w:val="24"/>
          <w:lang w:val="en-US"/>
        </w:rPr>
        <w:t>gov</w:t>
      </w:r>
      <w:r w:rsidR="00AF25E2" w:rsidRPr="00727CF2">
        <w:rPr>
          <w:rFonts w:eastAsia="Times New Roman" w:cstheme="minorHAnsi"/>
          <w:bCs/>
          <w:sz w:val="24"/>
          <w:szCs w:val="24"/>
        </w:rPr>
        <w:t>.</w:t>
      </w:r>
      <w:r w:rsidR="00AF25E2" w:rsidRPr="00727CF2">
        <w:rPr>
          <w:rFonts w:eastAsia="Times New Roman" w:cstheme="minorHAnsi"/>
          <w:bCs/>
          <w:sz w:val="24"/>
          <w:szCs w:val="24"/>
          <w:lang w:val="en-US"/>
        </w:rPr>
        <w:t>gr</w:t>
      </w:r>
      <w:r w:rsidR="00AF25E2" w:rsidRPr="00727CF2">
        <w:rPr>
          <w:rFonts w:eastAsia="Times New Roman" w:cstheme="minorHAnsi"/>
          <w:bCs/>
          <w:sz w:val="24"/>
          <w:szCs w:val="24"/>
        </w:rPr>
        <w:t>)</w:t>
      </w:r>
      <w:r w:rsidR="00AF25E2" w:rsidRPr="00727CF2">
        <w:rPr>
          <w:rFonts w:eastAsia="Times New Roman" w:cstheme="minorHAnsi"/>
          <w:sz w:val="24"/>
          <w:szCs w:val="24"/>
        </w:rPr>
        <w:t xml:space="preserve">, στη διαδρομή </w:t>
      </w:r>
      <w:r w:rsidR="00AF25E2" w:rsidRPr="00727CF2">
        <w:rPr>
          <w:rFonts w:eastAsia="Times New Roman" w:cstheme="minorHAnsi"/>
          <w:b/>
          <w:i/>
          <w:sz w:val="24"/>
          <w:szCs w:val="24"/>
        </w:rPr>
        <w:t xml:space="preserve">Εφαρμογές &gt; Δημοφιλείς Εφαρμογές  &gt; </w:t>
      </w:r>
      <w:r w:rsidR="00AF25E2" w:rsidRPr="00727CF2">
        <w:rPr>
          <w:rFonts w:eastAsia="Times New Roman" w:cstheme="minorHAnsi"/>
          <w:b/>
          <w:i/>
          <w:sz w:val="24"/>
          <w:szCs w:val="24"/>
          <w:lang w:val="en-US"/>
        </w:rPr>
        <w:t>my</w:t>
      </w:r>
      <w:r w:rsidR="00AF25E2" w:rsidRPr="00727CF2">
        <w:rPr>
          <w:rFonts w:eastAsia="Times New Roman" w:cstheme="minorHAnsi"/>
          <w:b/>
          <w:i/>
          <w:sz w:val="24"/>
          <w:szCs w:val="24"/>
        </w:rPr>
        <w:t>Θέρμανση</w:t>
      </w:r>
      <w:r w:rsidR="00AF25E2" w:rsidRPr="00727CF2">
        <w:rPr>
          <w:rFonts w:eastAsia="Times New Roman" w:cstheme="minorHAnsi"/>
          <w:sz w:val="24"/>
          <w:szCs w:val="24"/>
        </w:rPr>
        <w:t>, χρησιμοποιώντας τους κωδικούς πρόσβασης T</w:t>
      </w:r>
      <w:r w:rsidR="00AF25E2" w:rsidRPr="00727CF2">
        <w:rPr>
          <w:rFonts w:eastAsia="Times New Roman" w:cstheme="minorHAnsi"/>
          <w:sz w:val="24"/>
          <w:szCs w:val="24"/>
          <w:lang w:val="en-US"/>
        </w:rPr>
        <w:t>AXIS</w:t>
      </w:r>
      <w:proofErr w:type="spellStart"/>
      <w:r w:rsidR="00AF25E2" w:rsidRPr="00727CF2">
        <w:rPr>
          <w:rFonts w:eastAsia="Times New Roman" w:cstheme="minorHAnsi"/>
          <w:sz w:val="24"/>
          <w:szCs w:val="24"/>
        </w:rPr>
        <w:t>net</w:t>
      </w:r>
      <w:proofErr w:type="spellEnd"/>
      <w:r w:rsidR="00AF25E2" w:rsidRPr="00727CF2">
        <w:rPr>
          <w:rFonts w:eastAsia="Times New Roman" w:cstheme="minorHAnsi"/>
          <w:sz w:val="24"/>
          <w:szCs w:val="24"/>
        </w:rPr>
        <w:t xml:space="preserve">, </w:t>
      </w:r>
      <w:r w:rsidRPr="00727CF2">
        <w:rPr>
          <w:rFonts w:eastAsia="Times New Roman" w:cstheme="minorHAnsi"/>
          <w:sz w:val="24"/>
          <w:szCs w:val="24"/>
        </w:rPr>
        <w:t xml:space="preserve">για να ενταχθούν στο Μητρώο Δικαιούχων του επιδόματος θέρμανσης. Η πληρωμή του επιδόματος θέρμανσης γίνεται μέσω τραπεζικών ή λοιπών πιστωτικών ιδρυμάτων σε </w:t>
      </w:r>
      <w:r w:rsidR="00AA3801" w:rsidRPr="00727CF2">
        <w:rPr>
          <w:rFonts w:eastAsia="Times New Roman" w:cstheme="minorHAnsi"/>
          <w:sz w:val="24"/>
          <w:szCs w:val="24"/>
        </w:rPr>
        <w:t>3</w:t>
      </w:r>
      <w:r w:rsidRPr="00727CF2">
        <w:rPr>
          <w:rFonts w:eastAsia="Times New Roman" w:cstheme="minorHAnsi"/>
          <w:sz w:val="24"/>
          <w:szCs w:val="24"/>
        </w:rPr>
        <w:t xml:space="preserve"> δόσεις.</w:t>
      </w:r>
      <w:r w:rsidRPr="00E76CE1">
        <w:rPr>
          <w:rFonts w:eastAsia="Times New Roman" w:cstheme="minorHAnsi"/>
          <w:sz w:val="24"/>
          <w:szCs w:val="24"/>
        </w:rPr>
        <w:t xml:space="preserve"> Οι ειδικότερες ημερομηνίες καταβολής έχουν ως εξής:   </w:t>
      </w:r>
    </w:p>
    <w:p w14:paraId="0DA03E01" w14:textId="2405E1BA" w:rsidR="00815935" w:rsidRPr="00E76CE1" w:rsidRDefault="00815935" w:rsidP="00815935">
      <w:pPr>
        <w:spacing w:before="240" w:after="240"/>
        <w:ind w:left="284"/>
        <w:jc w:val="both"/>
        <w:rPr>
          <w:rFonts w:eastAsia="Times New Roman" w:cstheme="minorHAnsi"/>
          <w:sz w:val="24"/>
          <w:szCs w:val="24"/>
        </w:rPr>
      </w:pPr>
      <w:r w:rsidRPr="009B5E84">
        <w:rPr>
          <w:rFonts w:eastAsia="Times New Roman" w:cstheme="minorHAnsi"/>
          <w:b/>
          <w:bCs/>
          <w:sz w:val="24"/>
          <w:szCs w:val="24"/>
        </w:rPr>
        <w:lastRenderedPageBreak/>
        <w:t>α)</w:t>
      </w:r>
      <w:r>
        <w:rPr>
          <w:rFonts w:eastAsia="Times New Roman" w:cstheme="minorHAnsi"/>
          <w:b/>
          <w:bCs/>
          <w:sz w:val="24"/>
          <w:szCs w:val="24"/>
        </w:rPr>
        <w:t xml:space="preserve"> </w:t>
      </w:r>
      <w:r w:rsidRPr="009B5E84">
        <w:rPr>
          <w:rFonts w:eastAsia="Times New Roman" w:cstheme="minorHAnsi"/>
          <w:b/>
          <w:bCs/>
          <w:sz w:val="24"/>
          <w:szCs w:val="24"/>
        </w:rPr>
        <w:t xml:space="preserve"> Έως την </w:t>
      </w:r>
      <w:r>
        <w:rPr>
          <w:rFonts w:eastAsia="Times New Roman" w:cstheme="minorHAnsi"/>
          <w:b/>
          <w:bCs/>
          <w:sz w:val="24"/>
          <w:szCs w:val="24"/>
        </w:rPr>
        <w:t>23η</w:t>
      </w:r>
      <w:r w:rsidRPr="009B5E84">
        <w:rPr>
          <w:rFonts w:eastAsia="Times New Roman" w:cstheme="minorHAnsi"/>
          <w:b/>
          <w:bCs/>
          <w:sz w:val="24"/>
          <w:szCs w:val="24"/>
        </w:rPr>
        <w:t xml:space="preserve"> Δεκεμβρίου 202</w:t>
      </w:r>
      <w:r>
        <w:rPr>
          <w:rFonts w:eastAsia="Times New Roman" w:cstheme="minorHAnsi"/>
          <w:b/>
          <w:bCs/>
          <w:sz w:val="24"/>
          <w:szCs w:val="24"/>
        </w:rPr>
        <w:t>5</w:t>
      </w:r>
      <w:r w:rsidRPr="00E76CE1">
        <w:rPr>
          <w:rFonts w:eastAsia="Times New Roman" w:cstheme="minorHAnsi"/>
          <w:sz w:val="24"/>
          <w:szCs w:val="24"/>
        </w:rPr>
        <w:t xml:space="preserve"> για την προκαταβολή και το σύνολο των αγορών, που θα τιμολογηθούν έως την 30</w:t>
      </w:r>
      <w:r w:rsidRPr="00E841AC">
        <w:rPr>
          <w:rFonts w:eastAsia="Times New Roman" w:cstheme="minorHAnsi"/>
          <w:sz w:val="24"/>
          <w:szCs w:val="24"/>
          <w:vertAlign w:val="superscript"/>
        </w:rPr>
        <w:t>ή</w:t>
      </w:r>
      <w:r w:rsidR="00E841AC">
        <w:rPr>
          <w:rFonts w:eastAsia="Times New Roman" w:cstheme="minorHAnsi"/>
          <w:sz w:val="24"/>
          <w:szCs w:val="24"/>
        </w:rPr>
        <w:t xml:space="preserve"> </w:t>
      </w:r>
      <w:r w:rsidRPr="00E76CE1">
        <w:rPr>
          <w:rFonts w:eastAsia="Times New Roman" w:cstheme="minorHAnsi"/>
          <w:sz w:val="24"/>
          <w:szCs w:val="24"/>
        </w:rPr>
        <w:t>Νοεμβρίου 202</w:t>
      </w:r>
      <w:r w:rsidR="0018457D">
        <w:rPr>
          <w:rFonts w:eastAsia="Times New Roman" w:cstheme="minorHAnsi"/>
          <w:sz w:val="24"/>
          <w:szCs w:val="24"/>
        </w:rPr>
        <w:t>5</w:t>
      </w:r>
      <w:r w:rsidRPr="00E76CE1">
        <w:rPr>
          <w:rFonts w:eastAsia="Times New Roman" w:cstheme="minorHAnsi"/>
          <w:sz w:val="24"/>
          <w:szCs w:val="24"/>
        </w:rPr>
        <w:t xml:space="preserve"> και υπό την προϋπόθεση καταχώρισης των απαιτούμενων στοιχείων έως και την</w:t>
      </w:r>
      <w:r>
        <w:rPr>
          <w:rFonts w:eastAsia="Times New Roman" w:cstheme="minorHAnsi"/>
          <w:sz w:val="24"/>
          <w:szCs w:val="24"/>
        </w:rPr>
        <w:t xml:space="preserve"> 5</w:t>
      </w:r>
      <w:r w:rsidRPr="00E841AC">
        <w:rPr>
          <w:rFonts w:eastAsia="Times New Roman" w:cstheme="minorHAnsi"/>
          <w:sz w:val="24"/>
          <w:szCs w:val="24"/>
          <w:vertAlign w:val="superscript"/>
        </w:rPr>
        <w:t>η</w:t>
      </w:r>
      <w:r w:rsidR="00E841AC">
        <w:rPr>
          <w:rFonts w:eastAsia="Times New Roman" w:cstheme="minorHAnsi"/>
          <w:sz w:val="24"/>
          <w:szCs w:val="24"/>
        </w:rPr>
        <w:t xml:space="preserve"> </w:t>
      </w:r>
      <w:r w:rsidRPr="00E76CE1">
        <w:rPr>
          <w:rFonts w:eastAsia="Times New Roman" w:cstheme="minorHAnsi"/>
          <w:sz w:val="24"/>
          <w:szCs w:val="24"/>
        </w:rPr>
        <w:t>Δεκεμβρίου 202</w:t>
      </w:r>
      <w:r>
        <w:rPr>
          <w:rFonts w:eastAsia="Times New Roman" w:cstheme="minorHAnsi"/>
          <w:sz w:val="24"/>
          <w:szCs w:val="24"/>
        </w:rPr>
        <w:t>5</w:t>
      </w:r>
      <w:r w:rsidRPr="00E76CE1">
        <w:rPr>
          <w:rFonts w:eastAsia="Times New Roman" w:cstheme="minorHAnsi"/>
          <w:sz w:val="24"/>
          <w:szCs w:val="24"/>
        </w:rPr>
        <w:t xml:space="preserve">. </w:t>
      </w:r>
    </w:p>
    <w:p w14:paraId="57776888" w14:textId="42A84A83" w:rsidR="00815935" w:rsidRPr="00E76CE1" w:rsidRDefault="00815935" w:rsidP="00815935">
      <w:pPr>
        <w:spacing w:before="240" w:after="240"/>
        <w:ind w:left="284"/>
        <w:jc w:val="both"/>
        <w:rPr>
          <w:rFonts w:eastAsia="Times New Roman" w:cstheme="minorHAnsi"/>
          <w:sz w:val="24"/>
          <w:szCs w:val="24"/>
        </w:rPr>
      </w:pPr>
      <w:r w:rsidRPr="009B5E84">
        <w:rPr>
          <w:rFonts w:eastAsia="Times New Roman" w:cstheme="minorHAnsi"/>
          <w:b/>
          <w:bCs/>
          <w:sz w:val="24"/>
          <w:szCs w:val="24"/>
        </w:rPr>
        <w:t>β)</w:t>
      </w:r>
      <w:r>
        <w:rPr>
          <w:rFonts w:eastAsia="Times New Roman" w:cstheme="minorHAnsi"/>
          <w:b/>
          <w:bCs/>
          <w:sz w:val="24"/>
          <w:szCs w:val="24"/>
        </w:rPr>
        <w:t xml:space="preserve"> </w:t>
      </w:r>
      <w:r w:rsidRPr="009B5E84">
        <w:rPr>
          <w:rFonts w:eastAsia="Times New Roman" w:cstheme="minorHAnsi"/>
          <w:b/>
          <w:bCs/>
          <w:sz w:val="24"/>
          <w:szCs w:val="24"/>
        </w:rPr>
        <w:t xml:space="preserve">Έως την 29η </w:t>
      </w:r>
      <w:r w:rsidR="00E841AC" w:rsidRPr="00727CF2">
        <w:rPr>
          <w:rFonts w:eastAsia="Times New Roman" w:cstheme="minorHAnsi"/>
          <w:b/>
          <w:bCs/>
          <w:sz w:val="24"/>
          <w:szCs w:val="24"/>
        </w:rPr>
        <w:t>Μαΐου</w:t>
      </w:r>
      <w:r w:rsidRPr="00727CF2">
        <w:rPr>
          <w:rFonts w:eastAsia="Times New Roman" w:cstheme="minorHAnsi"/>
          <w:b/>
          <w:bCs/>
          <w:sz w:val="24"/>
          <w:szCs w:val="24"/>
        </w:rPr>
        <w:t xml:space="preserve"> 202</w:t>
      </w:r>
      <w:r w:rsidR="00A55FB2" w:rsidRPr="00727CF2">
        <w:rPr>
          <w:rFonts w:eastAsia="Times New Roman" w:cstheme="minorHAnsi"/>
          <w:b/>
          <w:bCs/>
          <w:sz w:val="24"/>
          <w:szCs w:val="24"/>
        </w:rPr>
        <w:t>6</w:t>
      </w:r>
      <w:r>
        <w:rPr>
          <w:rFonts w:eastAsia="Times New Roman" w:cstheme="minorHAnsi"/>
          <w:b/>
          <w:bCs/>
          <w:sz w:val="24"/>
          <w:szCs w:val="24"/>
        </w:rPr>
        <w:t xml:space="preserve"> </w:t>
      </w:r>
      <w:r w:rsidRPr="00815935">
        <w:rPr>
          <w:rFonts w:eastAsia="Times New Roman" w:cstheme="minorHAnsi"/>
          <w:bCs/>
          <w:sz w:val="24"/>
          <w:szCs w:val="24"/>
        </w:rPr>
        <w:t>για αγορές που αφορούν καταναλώσεις από 1</w:t>
      </w:r>
      <w:r w:rsidRPr="00815935">
        <w:rPr>
          <w:rFonts w:eastAsia="Times New Roman" w:cstheme="minorHAnsi"/>
          <w:bCs/>
          <w:sz w:val="24"/>
          <w:szCs w:val="24"/>
          <w:vertAlign w:val="superscript"/>
        </w:rPr>
        <w:t>η</w:t>
      </w:r>
      <w:r w:rsidRPr="00815935">
        <w:rPr>
          <w:rFonts w:eastAsia="Times New Roman" w:cstheme="minorHAnsi"/>
          <w:bCs/>
          <w:sz w:val="24"/>
          <w:szCs w:val="24"/>
        </w:rPr>
        <w:t xml:space="preserve"> Οκτωβρίου 2025 και ειδικά για τα καυσόξυλα και το </w:t>
      </w:r>
      <w:proofErr w:type="spellStart"/>
      <w:r w:rsidRPr="00815935">
        <w:rPr>
          <w:rFonts w:eastAsia="Times New Roman" w:cstheme="minorHAnsi"/>
          <w:bCs/>
          <w:sz w:val="24"/>
          <w:szCs w:val="24"/>
        </w:rPr>
        <w:t>πέλετ</w:t>
      </w:r>
      <w:proofErr w:type="spellEnd"/>
      <w:r w:rsidRPr="00815935">
        <w:rPr>
          <w:rFonts w:eastAsia="Times New Roman" w:cstheme="minorHAnsi"/>
          <w:bCs/>
          <w:sz w:val="24"/>
          <w:szCs w:val="24"/>
        </w:rPr>
        <w:t xml:space="preserve"> από 1</w:t>
      </w:r>
      <w:r w:rsidRPr="00815935">
        <w:rPr>
          <w:rFonts w:eastAsia="Times New Roman" w:cstheme="minorHAnsi"/>
          <w:bCs/>
          <w:sz w:val="24"/>
          <w:szCs w:val="24"/>
          <w:vertAlign w:val="superscript"/>
        </w:rPr>
        <w:t>η</w:t>
      </w:r>
      <w:r w:rsidRPr="00815935">
        <w:rPr>
          <w:rFonts w:eastAsia="Times New Roman" w:cstheme="minorHAnsi"/>
          <w:bCs/>
          <w:sz w:val="24"/>
          <w:szCs w:val="24"/>
        </w:rPr>
        <w:t xml:space="preserve"> Ιουνίου 2025 έως και 31 Μαρτίου 2026</w:t>
      </w:r>
      <w:r>
        <w:rPr>
          <w:rFonts w:eastAsia="Times New Roman" w:cstheme="minorHAnsi"/>
          <w:bCs/>
          <w:sz w:val="24"/>
          <w:szCs w:val="24"/>
        </w:rPr>
        <w:t xml:space="preserve"> </w:t>
      </w:r>
      <w:r w:rsidRPr="00815935">
        <w:rPr>
          <w:rFonts w:eastAsia="Times New Roman" w:cstheme="minorHAnsi"/>
          <w:sz w:val="24"/>
          <w:szCs w:val="24"/>
        </w:rPr>
        <w:t>για</w:t>
      </w:r>
      <w:r w:rsidRPr="00E76CE1">
        <w:rPr>
          <w:rFonts w:eastAsia="Times New Roman" w:cstheme="minorHAnsi"/>
          <w:sz w:val="24"/>
          <w:szCs w:val="24"/>
        </w:rPr>
        <w:t xml:space="preserve"> το σύνολο των αγορών που θα τιμολογηθούν έως την </w:t>
      </w:r>
      <w:r>
        <w:rPr>
          <w:rFonts w:eastAsia="Times New Roman" w:cstheme="minorHAnsi"/>
          <w:sz w:val="24"/>
          <w:szCs w:val="24"/>
        </w:rPr>
        <w:t>15</w:t>
      </w:r>
      <w:r w:rsidRPr="008B0285">
        <w:rPr>
          <w:rFonts w:eastAsia="Times New Roman" w:cstheme="minorHAnsi"/>
          <w:sz w:val="24"/>
          <w:szCs w:val="24"/>
          <w:vertAlign w:val="superscript"/>
        </w:rPr>
        <w:t>η</w:t>
      </w:r>
      <w:r>
        <w:rPr>
          <w:rFonts w:eastAsia="Times New Roman" w:cstheme="minorHAnsi"/>
          <w:sz w:val="24"/>
          <w:szCs w:val="24"/>
        </w:rPr>
        <w:t xml:space="preserve"> Απριλίου 2026 </w:t>
      </w:r>
      <w:r w:rsidRPr="00E76CE1">
        <w:rPr>
          <w:rFonts w:eastAsia="Times New Roman" w:cstheme="minorHAnsi"/>
          <w:sz w:val="24"/>
          <w:szCs w:val="24"/>
        </w:rPr>
        <w:t xml:space="preserve">και υπό την προϋπόθεση καταχώρισης των απαιτούμενων στοιχείων έως και την </w:t>
      </w:r>
      <w:r>
        <w:rPr>
          <w:rFonts w:eastAsia="Times New Roman" w:cstheme="minorHAnsi"/>
          <w:sz w:val="24"/>
          <w:szCs w:val="24"/>
        </w:rPr>
        <w:t>30</w:t>
      </w:r>
      <w:r w:rsidRPr="008B0285">
        <w:rPr>
          <w:rFonts w:eastAsia="Times New Roman" w:cstheme="minorHAnsi"/>
          <w:sz w:val="24"/>
          <w:szCs w:val="24"/>
          <w:vertAlign w:val="superscript"/>
        </w:rPr>
        <w:t>η</w:t>
      </w:r>
      <w:r>
        <w:rPr>
          <w:rFonts w:eastAsia="Times New Roman" w:cstheme="minorHAnsi"/>
          <w:sz w:val="24"/>
          <w:szCs w:val="24"/>
        </w:rPr>
        <w:t xml:space="preserve"> Απριλίου 2026</w:t>
      </w:r>
      <w:r w:rsidRPr="00E76CE1">
        <w:rPr>
          <w:rFonts w:eastAsia="Times New Roman" w:cstheme="minorHAnsi"/>
          <w:sz w:val="24"/>
          <w:szCs w:val="24"/>
        </w:rPr>
        <w:t xml:space="preserve">. </w:t>
      </w:r>
      <w:r>
        <w:rPr>
          <w:rFonts w:eastAsia="Times New Roman" w:cstheme="minorHAnsi"/>
          <w:sz w:val="24"/>
          <w:szCs w:val="24"/>
        </w:rPr>
        <w:t>Ειδικά για το φυσικό αέριο και για την κατανάλωση θερμικής ενέργειας μέσω τηλεθέρμανσης πραγματοποιείται επιπλέον πληρωμή έως την 31</w:t>
      </w:r>
      <w:r w:rsidRPr="008B0285">
        <w:rPr>
          <w:rFonts w:eastAsia="Times New Roman" w:cstheme="minorHAnsi"/>
          <w:sz w:val="24"/>
          <w:szCs w:val="24"/>
          <w:vertAlign w:val="superscript"/>
        </w:rPr>
        <w:t>η</w:t>
      </w:r>
      <w:r>
        <w:rPr>
          <w:rFonts w:eastAsia="Times New Roman" w:cstheme="minorHAnsi"/>
          <w:sz w:val="24"/>
          <w:szCs w:val="24"/>
        </w:rPr>
        <w:t xml:space="preserve"> Ιουλίου 2026, για αγορές που αφορούν καταναλώσεις από 1</w:t>
      </w:r>
      <w:r w:rsidRPr="008B0285">
        <w:rPr>
          <w:rFonts w:eastAsia="Times New Roman" w:cstheme="minorHAnsi"/>
          <w:sz w:val="24"/>
          <w:szCs w:val="24"/>
          <w:vertAlign w:val="superscript"/>
        </w:rPr>
        <w:t>η</w:t>
      </w:r>
      <w:r>
        <w:rPr>
          <w:rFonts w:eastAsia="Times New Roman" w:cstheme="minorHAnsi"/>
          <w:sz w:val="24"/>
          <w:szCs w:val="24"/>
        </w:rPr>
        <w:t xml:space="preserve"> Οκτωβρίου 2025 έως 31η Μαρτίου 2026.</w:t>
      </w:r>
    </w:p>
    <w:p w14:paraId="1AF1FDC7" w14:textId="77777777" w:rsidR="00815935" w:rsidRPr="00E76CE1" w:rsidRDefault="00815935" w:rsidP="00815935">
      <w:pPr>
        <w:spacing w:before="240" w:after="240"/>
        <w:jc w:val="both"/>
        <w:rPr>
          <w:rFonts w:eastAsia="Times New Roman" w:cstheme="minorHAnsi"/>
          <w:sz w:val="24"/>
          <w:szCs w:val="24"/>
        </w:rPr>
      </w:pPr>
      <w:bookmarkStart w:id="3" w:name="_heading=h.30j0zll" w:colFirst="0" w:colLast="0"/>
      <w:bookmarkStart w:id="4" w:name="_heading=h.gjdgxs" w:colFirst="0" w:colLast="0"/>
      <w:bookmarkEnd w:id="3"/>
      <w:bookmarkEnd w:id="4"/>
      <w:r w:rsidRPr="00E76CE1">
        <w:rPr>
          <w:rFonts w:eastAsia="Times New Roman" w:cstheme="minorHAnsi"/>
          <w:sz w:val="24"/>
          <w:szCs w:val="24"/>
        </w:rPr>
        <w:t>Το επίδομα θέρμανσης είναι αφορολόγητο, ακατάσχετο, δεν υπόκειται σε κανενός είδους παρακράτηση και δεν συμψηφίζεται με τυχόν οφειλές του δικαιούχου προς το Ελληνικό Δημόσιο.</w:t>
      </w:r>
    </w:p>
    <w:p w14:paraId="2077663C" w14:textId="77777777" w:rsidR="00AA3801" w:rsidRDefault="00815935" w:rsidP="00815935">
      <w:pPr>
        <w:spacing w:before="240" w:after="240"/>
        <w:jc w:val="both"/>
        <w:rPr>
          <w:rFonts w:eastAsia="Times New Roman" w:cstheme="minorHAnsi"/>
          <w:sz w:val="24"/>
          <w:szCs w:val="24"/>
        </w:rPr>
      </w:pPr>
      <w:r w:rsidRPr="00E76CE1">
        <w:rPr>
          <w:rFonts w:eastAsia="Times New Roman" w:cstheme="minorHAnsi"/>
          <w:sz w:val="24"/>
          <w:szCs w:val="24"/>
        </w:rPr>
        <w:t xml:space="preserve">Στην </w:t>
      </w:r>
      <w:r>
        <w:rPr>
          <w:rFonts w:eastAsia="Times New Roman" w:cstheme="minorHAnsi"/>
          <w:sz w:val="24"/>
          <w:szCs w:val="24"/>
        </w:rPr>
        <w:t>Κ</w:t>
      </w:r>
      <w:r w:rsidRPr="00E76CE1">
        <w:rPr>
          <w:rFonts w:eastAsia="Times New Roman" w:cstheme="minorHAnsi"/>
          <w:sz w:val="24"/>
          <w:szCs w:val="24"/>
        </w:rPr>
        <w:t xml:space="preserve">οινή </w:t>
      </w:r>
      <w:r>
        <w:rPr>
          <w:rFonts w:eastAsia="Times New Roman" w:cstheme="minorHAnsi"/>
          <w:sz w:val="24"/>
          <w:szCs w:val="24"/>
        </w:rPr>
        <w:t>Υ</w:t>
      </w:r>
      <w:r w:rsidRPr="00E76CE1">
        <w:rPr>
          <w:rFonts w:eastAsia="Times New Roman" w:cstheme="minorHAnsi"/>
          <w:sz w:val="24"/>
          <w:szCs w:val="24"/>
        </w:rPr>
        <w:t xml:space="preserve">πουργική </w:t>
      </w:r>
      <w:r>
        <w:rPr>
          <w:rFonts w:eastAsia="Times New Roman" w:cstheme="minorHAnsi"/>
          <w:sz w:val="24"/>
          <w:szCs w:val="24"/>
        </w:rPr>
        <w:t>Α</w:t>
      </w:r>
      <w:r w:rsidRPr="00E76CE1">
        <w:rPr>
          <w:rFonts w:eastAsia="Times New Roman" w:cstheme="minorHAnsi"/>
          <w:sz w:val="24"/>
          <w:szCs w:val="24"/>
        </w:rPr>
        <w:t xml:space="preserve">πόφαση περιγράφεται επιπλέον λεπτομερώς η διαδικασία ελέγχου των προϋποθέσεων, η καταβολή των ποσών, αλλά και η διαδικασία υποβολής τυχόν ενστάσεων και καταλογισμού </w:t>
      </w:r>
      <w:proofErr w:type="spellStart"/>
      <w:r w:rsidRPr="00E76CE1">
        <w:rPr>
          <w:rFonts w:eastAsia="Times New Roman" w:cstheme="minorHAnsi"/>
          <w:sz w:val="24"/>
          <w:szCs w:val="24"/>
        </w:rPr>
        <w:t>αχρεωστήτως</w:t>
      </w:r>
      <w:proofErr w:type="spellEnd"/>
      <w:r w:rsidRPr="00E76CE1">
        <w:rPr>
          <w:rFonts w:eastAsia="Times New Roman" w:cstheme="minorHAnsi"/>
          <w:sz w:val="24"/>
          <w:szCs w:val="24"/>
        </w:rPr>
        <w:t xml:space="preserve"> καταβληθέντων ποσών και επιβολής προστίμων. </w:t>
      </w:r>
    </w:p>
    <w:p w14:paraId="1F99C92A" w14:textId="77777777" w:rsidR="00AA3801" w:rsidRPr="00727CF2" w:rsidRDefault="00AA3801" w:rsidP="00AA3801">
      <w:pPr>
        <w:spacing w:before="240" w:after="240"/>
        <w:jc w:val="both"/>
        <w:rPr>
          <w:rFonts w:eastAsia="Times New Roman" w:cstheme="minorHAnsi"/>
          <w:sz w:val="24"/>
          <w:szCs w:val="24"/>
        </w:rPr>
      </w:pPr>
      <w:r w:rsidRPr="00727CF2">
        <w:rPr>
          <w:rFonts w:eastAsia="Times New Roman" w:cstheme="minorHAnsi"/>
          <w:sz w:val="24"/>
          <w:szCs w:val="24"/>
        </w:rPr>
        <w:t>Ειδικότερα, σημειώνεται ότι, όσον αφορά τις αγορές πετρελαίου θέρμανσης, στο πλαίσιο της ομαλής προσαρμογής της αγοράς στη νέα διαδικασία επεξεργασίας και ελέγχου των αιτήσεων και των στοιχείων που υποβάλλονται στην ΑΑΔΕ, και με σκοπό τη διασφάλιση της εύρυθμης και απρόσκοπτης καταβολής του επιδόματος στους δικαιούχους, οι επιχειρήσεις εμπορίας πετρελαιοειδών υποχρεούνται να διαβιβάζουν τα στοιχεία των αγορών ως εξής:</w:t>
      </w:r>
    </w:p>
    <w:p w14:paraId="69C72107" w14:textId="4B50AA78" w:rsidR="00AA3801" w:rsidRPr="00727CF2" w:rsidRDefault="00AA3801" w:rsidP="00AA3801">
      <w:pPr>
        <w:spacing w:before="240" w:after="240"/>
        <w:ind w:left="142" w:hanging="284"/>
        <w:jc w:val="both"/>
        <w:rPr>
          <w:rFonts w:eastAsia="Times New Roman" w:cstheme="minorHAnsi"/>
          <w:sz w:val="24"/>
          <w:szCs w:val="24"/>
        </w:rPr>
      </w:pPr>
      <w:r w:rsidRPr="00727CF2">
        <w:rPr>
          <w:rFonts w:eastAsia="Times New Roman" w:cstheme="minorHAnsi"/>
          <w:sz w:val="24"/>
          <w:szCs w:val="24"/>
        </w:rPr>
        <w:t>α.</w:t>
      </w:r>
      <w:r w:rsidRPr="00727CF2">
        <w:rPr>
          <w:rFonts w:eastAsia="Times New Roman" w:cstheme="minorHAnsi"/>
          <w:sz w:val="24"/>
          <w:szCs w:val="24"/>
        </w:rPr>
        <w:tab/>
        <w:t>Από το πληροφοριακό σύστημα διακινητών πετρελαίου θέρμανσης (ΔΙΠΕΘΕ) για τα παραστατικά αγοράς με ημερομηνία έκδοσης για το χρονικό διάστημα από την έναρξη διάθεσης του πετρελαίου θέρμανσης έως και την 31/12/2025,</w:t>
      </w:r>
    </w:p>
    <w:p w14:paraId="174B0268" w14:textId="77777777" w:rsidR="00AA3801" w:rsidRPr="000B356E" w:rsidRDefault="00AA3801" w:rsidP="00AA3801">
      <w:pPr>
        <w:spacing w:before="240" w:after="240"/>
        <w:ind w:left="142" w:hanging="284"/>
        <w:jc w:val="both"/>
        <w:rPr>
          <w:rFonts w:eastAsia="Times New Roman" w:cstheme="minorHAnsi"/>
          <w:sz w:val="24"/>
          <w:szCs w:val="24"/>
        </w:rPr>
      </w:pPr>
      <w:r w:rsidRPr="00727CF2">
        <w:rPr>
          <w:rFonts w:eastAsia="Times New Roman" w:cstheme="minorHAnsi"/>
          <w:sz w:val="24"/>
          <w:szCs w:val="24"/>
        </w:rPr>
        <w:t>β.</w:t>
      </w:r>
      <w:r w:rsidRPr="00727CF2">
        <w:rPr>
          <w:rFonts w:eastAsia="Times New Roman" w:cstheme="minorHAnsi"/>
          <w:sz w:val="24"/>
          <w:szCs w:val="24"/>
        </w:rPr>
        <w:tab/>
        <w:t xml:space="preserve">Από την ψηφιακή πλατφόρμα, </w:t>
      </w:r>
      <w:proofErr w:type="spellStart"/>
      <w:r w:rsidRPr="00727CF2">
        <w:rPr>
          <w:rFonts w:eastAsia="Times New Roman" w:cstheme="minorHAnsi"/>
          <w:sz w:val="24"/>
          <w:szCs w:val="24"/>
        </w:rPr>
        <w:t>myDATA</w:t>
      </w:r>
      <w:proofErr w:type="spellEnd"/>
      <w:r w:rsidRPr="00727CF2">
        <w:rPr>
          <w:rFonts w:eastAsia="Times New Roman" w:cstheme="minorHAnsi"/>
          <w:sz w:val="24"/>
          <w:szCs w:val="24"/>
        </w:rPr>
        <w:t xml:space="preserve"> ή από το πληροφοριακό σύστημα e-</w:t>
      </w:r>
      <w:proofErr w:type="spellStart"/>
      <w:r w:rsidRPr="00727CF2">
        <w:rPr>
          <w:rFonts w:eastAsia="Times New Roman" w:cstheme="minorHAnsi"/>
          <w:sz w:val="24"/>
          <w:szCs w:val="24"/>
        </w:rPr>
        <w:t>send</w:t>
      </w:r>
      <w:proofErr w:type="spellEnd"/>
      <w:r w:rsidRPr="00727CF2">
        <w:rPr>
          <w:rFonts w:eastAsia="Times New Roman" w:cstheme="minorHAnsi"/>
          <w:sz w:val="24"/>
          <w:szCs w:val="24"/>
        </w:rPr>
        <w:t xml:space="preserve"> της ΑΑΔΕ για τα παραστατικά αγοράς με ημερομηνία έκδοσης για το χρονικό διάστημα από 1/1/2026 και εντεύθεν.</w:t>
      </w:r>
    </w:p>
    <w:bookmarkEnd w:id="1"/>
    <w:p w14:paraId="2A9A5D36" w14:textId="77777777" w:rsidR="00AF25E2" w:rsidRPr="00727CF2" w:rsidRDefault="00AF25E2" w:rsidP="00AF25E2">
      <w:pPr>
        <w:jc w:val="both"/>
        <w:rPr>
          <w:bCs/>
          <w:sz w:val="24"/>
          <w:szCs w:val="24"/>
        </w:rPr>
      </w:pPr>
      <w:r w:rsidRPr="00727CF2">
        <w:rPr>
          <w:bCs/>
          <w:sz w:val="24"/>
          <w:szCs w:val="24"/>
        </w:rPr>
        <w:t xml:space="preserve">Για περισσότερες πληροφορίες οι ενδιαφερόμενοι μπορούν να απευθύνονται στην Εξυπηρέτηση Φορολογουμένων της ΑΑΔΕ </w:t>
      </w:r>
      <w:r w:rsidRPr="00727CF2">
        <w:rPr>
          <w:bCs/>
          <w:sz w:val="24"/>
          <w:szCs w:val="24"/>
          <w:lang w:val="en-US"/>
        </w:rPr>
        <w:t>my</w:t>
      </w:r>
      <w:r w:rsidRPr="00727CF2">
        <w:rPr>
          <w:bCs/>
          <w:sz w:val="24"/>
          <w:szCs w:val="24"/>
        </w:rPr>
        <w:t>1521:</w:t>
      </w:r>
    </w:p>
    <w:p w14:paraId="7EF698F6" w14:textId="77777777" w:rsidR="00AF25E2" w:rsidRPr="00727CF2" w:rsidRDefault="00AF25E2" w:rsidP="00AF25E2">
      <w:pPr>
        <w:numPr>
          <w:ilvl w:val="0"/>
          <w:numId w:val="12"/>
        </w:numPr>
        <w:jc w:val="both"/>
        <w:rPr>
          <w:b/>
          <w:bCs/>
          <w:sz w:val="24"/>
          <w:szCs w:val="24"/>
        </w:rPr>
      </w:pPr>
      <w:r w:rsidRPr="00727CF2">
        <w:rPr>
          <w:b/>
          <w:bCs/>
          <w:sz w:val="24"/>
          <w:szCs w:val="24"/>
        </w:rPr>
        <w:t xml:space="preserve">Τηλεφωνικά </w:t>
      </w:r>
      <w:r w:rsidRPr="00727CF2">
        <w:rPr>
          <w:bCs/>
          <w:sz w:val="24"/>
          <w:szCs w:val="24"/>
        </w:rPr>
        <w:t>στο 1521, εργάσιμες ημέρες από 7.00 έως 20:00.</w:t>
      </w:r>
    </w:p>
    <w:p w14:paraId="555705FC" w14:textId="77777777" w:rsidR="00AF25E2" w:rsidRPr="00727CF2" w:rsidRDefault="00AF25E2" w:rsidP="00AF25E2">
      <w:pPr>
        <w:numPr>
          <w:ilvl w:val="0"/>
          <w:numId w:val="12"/>
        </w:numPr>
        <w:jc w:val="both"/>
        <w:rPr>
          <w:b/>
          <w:bCs/>
          <w:sz w:val="24"/>
          <w:szCs w:val="24"/>
        </w:rPr>
      </w:pPr>
      <w:r w:rsidRPr="00727CF2">
        <w:rPr>
          <w:b/>
          <w:bCs/>
          <w:sz w:val="24"/>
          <w:szCs w:val="24"/>
        </w:rPr>
        <w:lastRenderedPageBreak/>
        <w:t>Ψηφιακά στ</w:t>
      </w:r>
      <w:r w:rsidRPr="00727CF2">
        <w:rPr>
          <w:bCs/>
          <w:sz w:val="24"/>
          <w:szCs w:val="24"/>
        </w:rPr>
        <w:t xml:space="preserve">ο </w:t>
      </w:r>
      <w:hyperlink r:id="rId12" w:history="1">
        <w:r w:rsidRPr="00727CF2">
          <w:rPr>
            <w:rStyle w:val="-"/>
            <w:bCs/>
            <w:sz w:val="24"/>
            <w:szCs w:val="24"/>
            <w:lang w:val="en-US"/>
          </w:rPr>
          <w:t>my</w:t>
        </w:r>
        <w:r w:rsidRPr="00727CF2">
          <w:rPr>
            <w:rStyle w:val="-"/>
            <w:bCs/>
            <w:sz w:val="24"/>
            <w:szCs w:val="24"/>
          </w:rPr>
          <w:t>1521</w:t>
        </w:r>
      </w:hyperlink>
      <w:r w:rsidRPr="00727CF2">
        <w:rPr>
          <w:bCs/>
          <w:sz w:val="24"/>
          <w:szCs w:val="24"/>
        </w:rPr>
        <w:t xml:space="preserve">, με θέμα </w:t>
      </w:r>
      <w:r w:rsidRPr="00727CF2">
        <w:rPr>
          <w:b/>
          <w:bCs/>
          <w:i/>
          <w:sz w:val="24"/>
          <w:szCs w:val="24"/>
        </w:rPr>
        <w:t xml:space="preserve">Κοινωνική Πολιτική &amp; Επιδόματα &gt; Επιδόματα &gt; Επίδομα θέρμανσης – </w:t>
      </w:r>
      <w:r w:rsidRPr="00727CF2">
        <w:rPr>
          <w:b/>
          <w:bCs/>
          <w:i/>
          <w:sz w:val="24"/>
          <w:szCs w:val="24"/>
          <w:lang w:val="en-US"/>
        </w:rPr>
        <w:t>my</w:t>
      </w:r>
      <w:r w:rsidRPr="00727CF2">
        <w:rPr>
          <w:b/>
          <w:bCs/>
          <w:i/>
          <w:sz w:val="24"/>
          <w:szCs w:val="24"/>
        </w:rPr>
        <w:t xml:space="preserve">Θέρμανση &gt; </w:t>
      </w:r>
      <w:r w:rsidRPr="00727CF2">
        <w:rPr>
          <w:b/>
          <w:bCs/>
          <w:i/>
          <w:sz w:val="24"/>
          <w:szCs w:val="24"/>
          <w:lang w:val="en-US"/>
        </w:rPr>
        <w:t>my</w:t>
      </w:r>
      <w:r w:rsidRPr="00727CF2">
        <w:rPr>
          <w:b/>
          <w:bCs/>
          <w:i/>
          <w:sz w:val="24"/>
          <w:szCs w:val="24"/>
        </w:rPr>
        <w:t>Θέρμανση</w:t>
      </w:r>
      <w:r w:rsidRPr="00727CF2">
        <w:rPr>
          <w:bCs/>
          <w:sz w:val="24"/>
          <w:szCs w:val="24"/>
        </w:rPr>
        <w:t xml:space="preserve"> 24 ώρες το 24ωρο, 7 ημέρες την εβδομάδα.</w:t>
      </w:r>
    </w:p>
    <w:p w14:paraId="44507A0D" w14:textId="77777777" w:rsidR="00727CF2" w:rsidRDefault="00727CF2" w:rsidP="00815935">
      <w:pPr>
        <w:jc w:val="right"/>
        <w:rPr>
          <w:rFonts w:cstheme="minorHAnsi"/>
          <w:b/>
          <w:sz w:val="24"/>
          <w:szCs w:val="24"/>
        </w:rPr>
      </w:pPr>
    </w:p>
    <w:p w14:paraId="0AB9E433" w14:textId="43D45869" w:rsidR="00815935" w:rsidRPr="00E76CE1" w:rsidRDefault="00727CF2" w:rsidP="00815935">
      <w:pPr>
        <w:jc w:val="right"/>
        <w:rPr>
          <w:rFonts w:cstheme="minorHAnsi"/>
          <w:b/>
          <w:sz w:val="24"/>
          <w:szCs w:val="24"/>
        </w:rPr>
      </w:pPr>
      <w:r>
        <w:rPr>
          <w:rFonts w:cstheme="minorHAnsi"/>
          <w:b/>
          <w:sz w:val="24"/>
          <w:szCs w:val="24"/>
        </w:rPr>
        <w:t xml:space="preserve">ΑΠΟ ΤΑ ΓΡΑΦΕΙΑ ΤΥΠΟΥ </w:t>
      </w:r>
    </w:p>
    <w:p w14:paraId="18742629" w14:textId="77777777" w:rsidR="00815935" w:rsidRDefault="00815935" w:rsidP="00815935">
      <w:pPr>
        <w:jc w:val="right"/>
        <w:rPr>
          <w:rFonts w:cstheme="minorHAnsi"/>
          <w:b/>
          <w:sz w:val="24"/>
          <w:szCs w:val="24"/>
        </w:rPr>
      </w:pPr>
    </w:p>
    <w:p w14:paraId="0F45B0DD" w14:textId="77777777" w:rsidR="00782619" w:rsidRDefault="00782619" w:rsidP="003947CD">
      <w:pPr>
        <w:pStyle w:val="a4"/>
        <w:jc w:val="right"/>
        <w:rPr>
          <w:rFonts w:ascii="Calibri" w:hAnsi="Calibri" w:cs="Calibri"/>
          <w:b/>
        </w:rPr>
      </w:pPr>
    </w:p>
    <w:p w14:paraId="6C8B9291" w14:textId="77777777" w:rsidR="0028298B" w:rsidRDefault="0028298B" w:rsidP="003947CD">
      <w:pPr>
        <w:pStyle w:val="a4"/>
        <w:jc w:val="right"/>
        <w:rPr>
          <w:rFonts w:ascii="Calibri" w:hAnsi="Calibri" w:cs="Calibri"/>
          <w:b/>
        </w:rPr>
      </w:pPr>
    </w:p>
    <w:p w14:paraId="4EC09060" w14:textId="77777777" w:rsidR="00704590" w:rsidRPr="003947CD" w:rsidRDefault="00704590" w:rsidP="003947CD">
      <w:pPr>
        <w:pStyle w:val="a4"/>
        <w:jc w:val="both"/>
        <w:rPr>
          <w:rFonts w:ascii="Calibri" w:eastAsia="Aptos" w:hAnsi="Calibri" w:cs="Calibri"/>
          <w14:ligatures w14:val="standardContextual"/>
        </w:rPr>
      </w:pPr>
    </w:p>
    <w:p w14:paraId="55CACBA3" w14:textId="77777777" w:rsidR="00704590" w:rsidRPr="003947CD" w:rsidRDefault="00704590" w:rsidP="003947CD">
      <w:pPr>
        <w:pStyle w:val="a4"/>
        <w:rPr>
          <w:rFonts w:ascii="Calibri" w:hAnsi="Calibri" w:cs="Calibri"/>
          <w:b/>
        </w:rPr>
      </w:pPr>
    </w:p>
    <w:sectPr w:rsidR="00704590" w:rsidRPr="003947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B89"/>
    <w:multiLevelType w:val="hybridMultilevel"/>
    <w:tmpl w:val="066CC9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CB505B9"/>
    <w:multiLevelType w:val="hybridMultilevel"/>
    <w:tmpl w:val="5E345A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AEE3917"/>
    <w:multiLevelType w:val="hybridMultilevel"/>
    <w:tmpl w:val="C97AE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931FEC"/>
    <w:multiLevelType w:val="hybridMultilevel"/>
    <w:tmpl w:val="D5C6C0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6471366"/>
    <w:multiLevelType w:val="multilevel"/>
    <w:tmpl w:val="C1AA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B1689"/>
    <w:multiLevelType w:val="hybridMultilevel"/>
    <w:tmpl w:val="6AD0075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392978"/>
    <w:multiLevelType w:val="hybridMultilevel"/>
    <w:tmpl w:val="48E4B5A2"/>
    <w:lvl w:ilvl="0" w:tplc="5F687AE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B587690"/>
    <w:multiLevelType w:val="multilevel"/>
    <w:tmpl w:val="6832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A0BCD"/>
    <w:multiLevelType w:val="hybridMultilevel"/>
    <w:tmpl w:val="6BE0D30C"/>
    <w:lvl w:ilvl="0" w:tplc="00D42BC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3EE3231"/>
    <w:multiLevelType w:val="multilevel"/>
    <w:tmpl w:val="75221862"/>
    <w:lvl w:ilvl="0">
      <w:start w:val="1"/>
      <w:numFmt w:val="decimal"/>
      <w:lvlText w:val="%1."/>
      <w:lvlJc w:val="left"/>
      <w:pPr>
        <w:ind w:left="356" w:hanging="356"/>
        <w:jc w:val="right"/>
      </w:pPr>
      <w:rPr>
        <w:rFonts w:ascii="Verdana" w:eastAsia="Verdana" w:hAnsi="Verdana" w:cs="Verdana" w:hint="default"/>
        <w:b/>
        <w:bCs/>
        <w:i w:val="0"/>
        <w:iCs w:val="0"/>
        <w:spacing w:val="-2"/>
        <w:w w:val="100"/>
        <w:sz w:val="22"/>
        <w:szCs w:val="22"/>
        <w:lang w:val="el-GR" w:eastAsia="en-US" w:bidi="ar-SA"/>
      </w:rPr>
    </w:lvl>
    <w:lvl w:ilvl="1">
      <w:start w:val="1"/>
      <w:numFmt w:val="decimal"/>
      <w:lvlText w:val="%1.%2."/>
      <w:lvlJc w:val="left"/>
      <w:pPr>
        <w:ind w:left="568" w:hanging="567"/>
      </w:pPr>
      <w:rPr>
        <w:rFonts w:ascii="Verdana" w:eastAsia="Verdana" w:hAnsi="Verdana" w:cs="Verdana" w:hint="default"/>
        <w:b w:val="0"/>
        <w:bCs w:val="0"/>
        <w:i w:val="0"/>
        <w:iCs w:val="0"/>
        <w:spacing w:val="-2"/>
        <w:w w:val="100"/>
        <w:sz w:val="22"/>
        <w:szCs w:val="22"/>
        <w:lang w:val="el-GR" w:eastAsia="en-US" w:bidi="ar-SA"/>
      </w:rPr>
    </w:lvl>
    <w:lvl w:ilvl="2">
      <w:numFmt w:val="bullet"/>
      <w:lvlText w:val=""/>
      <w:lvlJc w:val="left"/>
      <w:pPr>
        <w:ind w:left="541" w:hanging="363"/>
      </w:pPr>
      <w:rPr>
        <w:rFonts w:ascii="Symbol" w:eastAsia="Symbol" w:hAnsi="Symbol" w:cs="Symbol" w:hint="default"/>
        <w:spacing w:val="0"/>
        <w:w w:val="100"/>
        <w:lang w:val="el-GR" w:eastAsia="en-US" w:bidi="ar-SA"/>
      </w:rPr>
    </w:lvl>
    <w:lvl w:ilvl="3">
      <w:start w:val="1"/>
      <w:numFmt w:val="decimal"/>
      <w:lvlText w:val="(%4)"/>
      <w:lvlJc w:val="left"/>
      <w:pPr>
        <w:ind w:left="721" w:hanging="363"/>
      </w:pPr>
      <w:rPr>
        <w:rFonts w:ascii="Verdana" w:eastAsia="Verdana" w:hAnsi="Verdana" w:cs="Verdana" w:hint="default"/>
        <w:b w:val="0"/>
        <w:bCs w:val="0"/>
        <w:i w:val="0"/>
        <w:iCs w:val="0"/>
        <w:spacing w:val="-2"/>
        <w:w w:val="100"/>
        <w:sz w:val="22"/>
        <w:szCs w:val="22"/>
        <w:lang w:val="el-GR" w:eastAsia="en-US" w:bidi="ar-SA"/>
      </w:rPr>
    </w:lvl>
    <w:lvl w:ilvl="4">
      <w:numFmt w:val="bullet"/>
      <w:lvlText w:val="•"/>
      <w:lvlJc w:val="left"/>
      <w:pPr>
        <w:ind w:left="904" w:hanging="363"/>
      </w:pPr>
      <w:rPr>
        <w:rFonts w:hint="default"/>
        <w:lang w:val="el-GR" w:eastAsia="en-US" w:bidi="ar-SA"/>
      </w:rPr>
    </w:lvl>
    <w:lvl w:ilvl="5">
      <w:numFmt w:val="bullet"/>
      <w:lvlText w:val="•"/>
      <w:lvlJc w:val="left"/>
      <w:pPr>
        <w:ind w:left="2462" w:hanging="363"/>
      </w:pPr>
      <w:rPr>
        <w:rFonts w:hint="default"/>
        <w:lang w:val="el-GR" w:eastAsia="en-US" w:bidi="ar-SA"/>
      </w:rPr>
    </w:lvl>
    <w:lvl w:ilvl="6">
      <w:numFmt w:val="bullet"/>
      <w:lvlText w:val="•"/>
      <w:lvlJc w:val="left"/>
      <w:pPr>
        <w:ind w:left="4020" w:hanging="363"/>
      </w:pPr>
      <w:rPr>
        <w:rFonts w:hint="default"/>
        <w:lang w:val="el-GR" w:eastAsia="en-US" w:bidi="ar-SA"/>
      </w:rPr>
    </w:lvl>
    <w:lvl w:ilvl="7">
      <w:numFmt w:val="bullet"/>
      <w:lvlText w:val="•"/>
      <w:lvlJc w:val="left"/>
      <w:pPr>
        <w:ind w:left="5579" w:hanging="363"/>
      </w:pPr>
      <w:rPr>
        <w:rFonts w:hint="default"/>
        <w:lang w:val="el-GR" w:eastAsia="en-US" w:bidi="ar-SA"/>
      </w:rPr>
    </w:lvl>
    <w:lvl w:ilvl="8">
      <w:numFmt w:val="bullet"/>
      <w:lvlText w:val="•"/>
      <w:lvlJc w:val="left"/>
      <w:pPr>
        <w:ind w:left="7137" w:hanging="363"/>
      </w:pPr>
      <w:rPr>
        <w:rFonts w:hint="default"/>
        <w:lang w:val="el-GR" w:eastAsia="en-US" w:bidi="ar-SA"/>
      </w:rPr>
    </w:lvl>
  </w:abstractNum>
  <w:abstractNum w:abstractNumId="10" w15:restartNumberingAfterBreak="0">
    <w:nsid w:val="769D3C6C"/>
    <w:multiLevelType w:val="hybridMultilevel"/>
    <w:tmpl w:val="7EA88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A6830C6"/>
    <w:multiLevelType w:val="hybridMultilevel"/>
    <w:tmpl w:val="42CE2D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11"/>
  </w:num>
  <w:num w:numId="6">
    <w:abstractNumId w:val="0"/>
  </w:num>
  <w:num w:numId="7">
    <w:abstractNumId w:val="7"/>
  </w:num>
  <w:num w:numId="8">
    <w:abstractNumId w:val="2"/>
  </w:num>
  <w:num w:numId="9">
    <w:abstractNumId w:val="4"/>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B2"/>
    <w:rsid w:val="00006DE9"/>
    <w:rsid w:val="00022B11"/>
    <w:rsid w:val="00033D82"/>
    <w:rsid w:val="00041790"/>
    <w:rsid w:val="00055DC5"/>
    <w:rsid w:val="00080C81"/>
    <w:rsid w:val="000853F7"/>
    <w:rsid w:val="00093BA6"/>
    <w:rsid w:val="000A3435"/>
    <w:rsid w:val="000B1B39"/>
    <w:rsid w:val="000D1E0B"/>
    <w:rsid w:val="00107644"/>
    <w:rsid w:val="00114199"/>
    <w:rsid w:val="00140DD4"/>
    <w:rsid w:val="0015182F"/>
    <w:rsid w:val="0017445A"/>
    <w:rsid w:val="00181749"/>
    <w:rsid w:val="0018264D"/>
    <w:rsid w:val="0018457D"/>
    <w:rsid w:val="00196E82"/>
    <w:rsid w:val="001C5C12"/>
    <w:rsid w:val="001D40E4"/>
    <w:rsid w:val="001D5EC2"/>
    <w:rsid w:val="00202262"/>
    <w:rsid w:val="002073BF"/>
    <w:rsid w:val="00257204"/>
    <w:rsid w:val="00257D75"/>
    <w:rsid w:val="00260E8D"/>
    <w:rsid w:val="00262220"/>
    <w:rsid w:val="0028298B"/>
    <w:rsid w:val="00297DC2"/>
    <w:rsid w:val="002A05FA"/>
    <w:rsid w:val="002A6181"/>
    <w:rsid w:val="002B623D"/>
    <w:rsid w:val="002B7035"/>
    <w:rsid w:val="002C6D64"/>
    <w:rsid w:val="002D366E"/>
    <w:rsid w:val="002F48C6"/>
    <w:rsid w:val="002F4B4A"/>
    <w:rsid w:val="00301273"/>
    <w:rsid w:val="00305CCC"/>
    <w:rsid w:val="00312511"/>
    <w:rsid w:val="0032716B"/>
    <w:rsid w:val="00350846"/>
    <w:rsid w:val="00353F0E"/>
    <w:rsid w:val="003700B1"/>
    <w:rsid w:val="00386675"/>
    <w:rsid w:val="00392943"/>
    <w:rsid w:val="00393607"/>
    <w:rsid w:val="003947CD"/>
    <w:rsid w:val="003B1A94"/>
    <w:rsid w:val="003B29F9"/>
    <w:rsid w:val="003D2B07"/>
    <w:rsid w:val="003E6566"/>
    <w:rsid w:val="00407715"/>
    <w:rsid w:val="00435D14"/>
    <w:rsid w:val="00454345"/>
    <w:rsid w:val="0047225E"/>
    <w:rsid w:val="004804D3"/>
    <w:rsid w:val="004806AF"/>
    <w:rsid w:val="004E643B"/>
    <w:rsid w:val="004F6E49"/>
    <w:rsid w:val="00525DB3"/>
    <w:rsid w:val="005457B0"/>
    <w:rsid w:val="00553FFD"/>
    <w:rsid w:val="0057212D"/>
    <w:rsid w:val="00573D3B"/>
    <w:rsid w:val="00574135"/>
    <w:rsid w:val="005A4C68"/>
    <w:rsid w:val="005E10C9"/>
    <w:rsid w:val="005E2FAD"/>
    <w:rsid w:val="005E5FCA"/>
    <w:rsid w:val="005E6169"/>
    <w:rsid w:val="005F0DC6"/>
    <w:rsid w:val="00603963"/>
    <w:rsid w:val="0060475C"/>
    <w:rsid w:val="00604F41"/>
    <w:rsid w:val="00605C56"/>
    <w:rsid w:val="006120E3"/>
    <w:rsid w:val="00620464"/>
    <w:rsid w:val="00650355"/>
    <w:rsid w:val="00662805"/>
    <w:rsid w:val="00676C01"/>
    <w:rsid w:val="00677171"/>
    <w:rsid w:val="00680696"/>
    <w:rsid w:val="00681D9B"/>
    <w:rsid w:val="0068270D"/>
    <w:rsid w:val="00686386"/>
    <w:rsid w:val="00692939"/>
    <w:rsid w:val="00692BE1"/>
    <w:rsid w:val="006A7467"/>
    <w:rsid w:val="006D3629"/>
    <w:rsid w:val="00704289"/>
    <w:rsid w:val="007043BB"/>
    <w:rsid w:val="00704590"/>
    <w:rsid w:val="00717F91"/>
    <w:rsid w:val="00723182"/>
    <w:rsid w:val="00727CF2"/>
    <w:rsid w:val="0073555B"/>
    <w:rsid w:val="00741A3C"/>
    <w:rsid w:val="00744EA5"/>
    <w:rsid w:val="007616B6"/>
    <w:rsid w:val="007736A2"/>
    <w:rsid w:val="00775AB2"/>
    <w:rsid w:val="007817D0"/>
    <w:rsid w:val="00782619"/>
    <w:rsid w:val="00787579"/>
    <w:rsid w:val="00796023"/>
    <w:rsid w:val="007E7E84"/>
    <w:rsid w:val="00802BDC"/>
    <w:rsid w:val="00803F74"/>
    <w:rsid w:val="00807484"/>
    <w:rsid w:val="008131C1"/>
    <w:rsid w:val="00815935"/>
    <w:rsid w:val="0081748C"/>
    <w:rsid w:val="00824B04"/>
    <w:rsid w:val="00833978"/>
    <w:rsid w:val="00836BC2"/>
    <w:rsid w:val="008460CA"/>
    <w:rsid w:val="008544A2"/>
    <w:rsid w:val="00862BA5"/>
    <w:rsid w:val="0089114F"/>
    <w:rsid w:val="008960DF"/>
    <w:rsid w:val="008A74E5"/>
    <w:rsid w:val="008B309E"/>
    <w:rsid w:val="008B40C4"/>
    <w:rsid w:val="008D363A"/>
    <w:rsid w:val="008F36E4"/>
    <w:rsid w:val="0095416E"/>
    <w:rsid w:val="00967734"/>
    <w:rsid w:val="00970F6E"/>
    <w:rsid w:val="009732A8"/>
    <w:rsid w:val="00974E0E"/>
    <w:rsid w:val="00975074"/>
    <w:rsid w:val="009930C3"/>
    <w:rsid w:val="0099557D"/>
    <w:rsid w:val="009A7F9E"/>
    <w:rsid w:val="009B2355"/>
    <w:rsid w:val="009B2C88"/>
    <w:rsid w:val="009B3B9A"/>
    <w:rsid w:val="009C515D"/>
    <w:rsid w:val="009F0132"/>
    <w:rsid w:val="009F508F"/>
    <w:rsid w:val="00A05D57"/>
    <w:rsid w:val="00A155ED"/>
    <w:rsid w:val="00A25083"/>
    <w:rsid w:val="00A4425C"/>
    <w:rsid w:val="00A55FB2"/>
    <w:rsid w:val="00A77CD5"/>
    <w:rsid w:val="00AA3801"/>
    <w:rsid w:val="00AC35E5"/>
    <w:rsid w:val="00AD4032"/>
    <w:rsid w:val="00AE2B1D"/>
    <w:rsid w:val="00AF0DC6"/>
    <w:rsid w:val="00AF252C"/>
    <w:rsid w:val="00AF25E2"/>
    <w:rsid w:val="00AF4FE3"/>
    <w:rsid w:val="00AF5D1A"/>
    <w:rsid w:val="00B25D3C"/>
    <w:rsid w:val="00B36182"/>
    <w:rsid w:val="00B66344"/>
    <w:rsid w:val="00B771D8"/>
    <w:rsid w:val="00BC08C9"/>
    <w:rsid w:val="00BC2E13"/>
    <w:rsid w:val="00BD7D0E"/>
    <w:rsid w:val="00BF637B"/>
    <w:rsid w:val="00C12DC7"/>
    <w:rsid w:val="00C41EF2"/>
    <w:rsid w:val="00C43BFA"/>
    <w:rsid w:val="00C51457"/>
    <w:rsid w:val="00C51E92"/>
    <w:rsid w:val="00C52A7D"/>
    <w:rsid w:val="00C66953"/>
    <w:rsid w:val="00C6767C"/>
    <w:rsid w:val="00C7484F"/>
    <w:rsid w:val="00C75CF3"/>
    <w:rsid w:val="00C85EF8"/>
    <w:rsid w:val="00C92ECF"/>
    <w:rsid w:val="00CB1487"/>
    <w:rsid w:val="00CB4629"/>
    <w:rsid w:val="00CB7AD7"/>
    <w:rsid w:val="00CE27A8"/>
    <w:rsid w:val="00CE3E6F"/>
    <w:rsid w:val="00CE5FDD"/>
    <w:rsid w:val="00CF03D6"/>
    <w:rsid w:val="00CF0804"/>
    <w:rsid w:val="00CF11E6"/>
    <w:rsid w:val="00CF291D"/>
    <w:rsid w:val="00D03091"/>
    <w:rsid w:val="00D37B3C"/>
    <w:rsid w:val="00D50E95"/>
    <w:rsid w:val="00D53C51"/>
    <w:rsid w:val="00D65978"/>
    <w:rsid w:val="00D76193"/>
    <w:rsid w:val="00D77D91"/>
    <w:rsid w:val="00D80BC7"/>
    <w:rsid w:val="00D90CCA"/>
    <w:rsid w:val="00D91600"/>
    <w:rsid w:val="00D9350D"/>
    <w:rsid w:val="00D939C4"/>
    <w:rsid w:val="00D93F21"/>
    <w:rsid w:val="00D97906"/>
    <w:rsid w:val="00DA2C20"/>
    <w:rsid w:val="00DA7985"/>
    <w:rsid w:val="00DB6495"/>
    <w:rsid w:val="00DD01B2"/>
    <w:rsid w:val="00DF1B39"/>
    <w:rsid w:val="00DF54E1"/>
    <w:rsid w:val="00DF7353"/>
    <w:rsid w:val="00E0047E"/>
    <w:rsid w:val="00E1203B"/>
    <w:rsid w:val="00E12214"/>
    <w:rsid w:val="00E264DA"/>
    <w:rsid w:val="00E34ABD"/>
    <w:rsid w:val="00E35BD2"/>
    <w:rsid w:val="00E365B5"/>
    <w:rsid w:val="00E43EDB"/>
    <w:rsid w:val="00E55037"/>
    <w:rsid w:val="00E56595"/>
    <w:rsid w:val="00E66651"/>
    <w:rsid w:val="00E73155"/>
    <w:rsid w:val="00E841AC"/>
    <w:rsid w:val="00EC14E8"/>
    <w:rsid w:val="00EC1E91"/>
    <w:rsid w:val="00EC2AF3"/>
    <w:rsid w:val="00EC69B5"/>
    <w:rsid w:val="00EC7106"/>
    <w:rsid w:val="00ED2FFB"/>
    <w:rsid w:val="00EE5B9F"/>
    <w:rsid w:val="00EF0CCC"/>
    <w:rsid w:val="00F03C8A"/>
    <w:rsid w:val="00F65FCC"/>
    <w:rsid w:val="00F70EDF"/>
    <w:rsid w:val="00F72E69"/>
    <w:rsid w:val="00F83777"/>
    <w:rsid w:val="00F871B1"/>
    <w:rsid w:val="00FA15CC"/>
    <w:rsid w:val="00FB11D7"/>
    <w:rsid w:val="00FB7BC3"/>
    <w:rsid w:val="00FE1280"/>
    <w:rsid w:val="00FE5E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82E4"/>
  <w15:docId w15:val="{B6430039-EBF3-4012-A60B-B52363B0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1B2"/>
  </w:style>
  <w:style w:type="paragraph" w:styleId="3">
    <w:name w:val="heading 3"/>
    <w:basedOn w:val="a"/>
    <w:link w:val="3Char"/>
    <w:uiPriority w:val="9"/>
    <w:qFormat/>
    <w:rsid w:val="009B2C88"/>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D01B2"/>
    <w:pPr>
      <w:spacing w:after="0" w:line="240" w:lineRule="auto"/>
    </w:pPr>
    <w:rPr>
      <w:kern w:val="2"/>
      <w:sz w:val="24"/>
      <w:szCs w:val="24"/>
    </w:rPr>
  </w:style>
  <w:style w:type="paragraph" w:styleId="a5">
    <w:name w:val="Balloon Text"/>
    <w:basedOn w:val="a"/>
    <w:link w:val="Char"/>
    <w:uiPriority w:val="99"/>
    <w:semiHidden/>
    <w:unhideWhenUsed/>
    <w:rsid w:val="00DD01B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D01B2"/>
    <w:rPr>
      <w:rFonts w:ascii="Tahoma" w:hAnsi="Tahoma" w:cs="Tahoma"/>
      <w:sz w:val="16"/>
      <w:szCs w:val="16"/>
    </w:rPr>
  </w:style>
  <w:style w:type="paragraph" w:styleId="a6">
    <w:name w:val="List Paragraph"/>
    <w:aliases w:val="Γράφημα,Bullet21,Bullet22,Bullet23,Bullet211,Bullet24,Bullet25,Bullet26,Bullet27,bl11,Bullet212,Bullet28,bl12,Bullet213,Bullet29,bl13,Bullet214,Bullet210,Bullet215,Itemize,Heading A,Bulleted List 1,List1,bl1,FooterText,List Paragraph1"/>
    <w:basedOn w:val="a"/>
    <w:link w:val="Char0"/>
    <w:uiPriority w:val="34"/>
    <w:qFormat/>
    <w:rsid w:val="00FE5EEF"/>
    <w:pPr>
      <w:spacing w:after="160" w:line="259" w:lineRule="auto"/>
      <w:ind w:left="720"/>
      <w:contextualSpacing/>
    </w:pPr>
    <w:rPr>
      <w:kern w:val="2"/>
    </w:rPr>
  </w:style>
  <w:style w:type="character" w:customStyle="1" w:styleId="Char0">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6"/>
    <w:uiPriority w:val="34"/>
    <w:qFormat/>
    <w:rsid w:val="00FE5EEF"/>
    <w:rPr>
      <w:kern w:val="2"/>
    </w:rPr>
  </w:style>
  <w:style w:type="character" w:styleId="-">
    <w:name w:val="Hyperlink"/>
    <w:aliases w:val="Δεσμός"/>
    <w:basedOn w:val="a0"/>
    <w:unhideWhenUsed/>
    <w:rsid w:val="00FE5EEF"/>
    <w:rPr>
      <w:color w:val="0000FF" w:themeColor="hyperlink"/>
      <w:u w:val="single"/>
    </w:rPr>
  </w:style>
  <w:style w:type="character" w:styleId="-0">
    <w:name w:val="FollowedHyperlink"/>
    <w:basedOn w:val="a0"/>
    <w:uiPriority w:val="99"/>
    <w:semiHidden/>
    <w:unhideWhenUsed/>
    <w:rsid w:val="002A6181"/>
    <w:rPr>
      <w:color w:val="800080" w:themeColor="followedHyperlink"/>
      <w:u w:val="single"/>
    </w:rPr>
  </w:style>
  <w:style w:type="character" w:styleId="a7">
    <w:name w:val="Unresolved Mention"/>
    <w:basedOn w:val="a0"/>
    <w:uiPriority w:val="99"/>
    <w:semiHidden/>
    <w:unhideWhenUsed/>
    <w:rsid w:val="00260E8D"/>
    <w:rPr>
      <w:color w:val="605E5C"/>
      <w:shd w:val="clear" w:color="auto" w:fill="E1DFDD"/>
    </w:rPr>
  </w:style>
  <w:style w:type="paragraph" w:styleId="Web">
    <w:name w:val="Normal (Web)"/>
    <w:basedOn w:val="a"/>
    <w:uiPriority w:val="99"/>
    <w:unhideWhenUsed/>
    <w:rsid w:val="00FB7BC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annotation reference"/>
    <w:basedOn w:val="a0"/>
    <w:uiPriority w:val="99"/>
    <w:semiHidden/>
    <w:unhideWhenUsed/>
    <w:rsid w:val="002B623D"/>
    <w:rPr>
      <w:sz w:val="16"/>
      <w:szCs w:val="16"/>
    </w:rPr>
  </w:style>
  <w:style w:type="paragraph" w:styleId="a9">
    <w:name w:val="annotation text"/>
    <w:basedOn w:val="a"/>
    <w:link w:val="Char1"/>
    <w:uiPriority w:val="99"/>
    <w:unhideWhenUsed/>
    <w:rsid w:val="002B623D"/>
    <w:pPr>
      <w:spacing w:line="240" w:lineRule="auto"/>
    </w:pPr>
    <w:rPr>
      <w:sz w:val="20"/>
      <w:szCs w:val="20"/>
    </w:rPr>
  </w:style>
  <w:style w:type="character" w:customStyle="1" w:styleId="Char1">
    <w:name w:val="Κείμενο σχολίου Char"/>
    <w:basedOn w:val="a0"/>
    <w:link w:val="a9"/>
    <w:uiPriority w:val="99"/>
    <w:rsid w:val="002B623D"/>
    <w:rPr>
      <w:sz w:val="20"/>
      <w:szCs w:val="20"/>
    </w:rPr>
  </w:style>
  <w:style w:type="paragraph" w:styleId="aa">
    <w:name w:val="annotation subject"/>
    <w:basedOn w:val="a9"/>
    <w:next w:val="a9"/>
    <w:link w:val="Char2"/>
    <w:uiPriority w:val="99"/>
    <w:semiHidden/>
    <w:unhideWhenUsed/>
    <w:rsid w:val="002B623D"/>
    <w:rPr>
      <w:b/>
      <w:bCs/>
    </w:rPr>
  </w:style>
  <w:style w:type="character" w:customStyle="1" w:styleId="Char2">
    <w:name w:val="Θέμα σχολίου Char"/>
    <w:basedOn w:val="Char1"/>
    <w:link w:val="aa"/>
    <w:uiPriority w:val="99"/>
    <w:semiHidden/>
    <w:rsid w:val="002B623D"/>
    <w:rPr>
      <w:b/>
      <w:bCs/>
      <w:sz w:val="20"/>
      <w:szCs w:val="20"/>
    </w:rPr>
  </w:style>
  <w:style w:type="paragraph" w:styleId="ab">
    <w:name w:val="Revision"/>
    <w:hidden/>
    <w:uiPriority w:val="99"/>
    <w:semiHidden/>
    <w:rsid w:val="00833978"/>
    <w:pPr>
      <w:spacing w:after="0" w:line="240" w:lineRule="auto"/>
    </w:pPr>
  </w:style>
  <w:style w:type="character" w:styleId="ac">
    <w:name w:val="Strong"/>
    <w:basedOn w:val="a0"/>
    <w:uiPriority w:val="22"/>
    <w:qFormat/>
    <w:rsid w:val="005A4C68"/>
    <w:rPr>
      <w:b/>
      <w:bCs/>
    </w:rPr>
  </w:style>
  <w:style w:type="character" w:customStyle="1" w:styleId="3Char">
    <w:name w:val="Επικεφαλίδα 3 Char"/>
    <w:basedOn w:val="a0"/>
    <w:link w:val="3"/>
    <w:uiPriority w:val="9"/>
    <w:rsid w:val="009B2C88"/>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5805">
      <w:bodyDiv w:val="1"/>
      <w:marLeft w:val="0"/>
      <w:marRight w:val="0"/>
      <w:marTop w:val="0"/>
      <w:marBottom w:val="0"/>
      <w:divBdr>
        <w:top w:val="none" w:sz="0" w:space="0" w:color="auto"/>
        <w:left w:val="none" w:sz="0" w:space="0" w:color="auto"/>
        <w:bottom w:val="none" w:sz="0" w:space="0" w:color="auto"/>
        <w:right w:val="none" w:sz="0" w:space="0" w:color="auto"/>
      </w:divBdr>
    </w:div>
    <w:div w:id="694157807">
      <w:bodyDiv w:val="1"/>
      <w:marLeft w:val="0"/>
      <w:marRight w:val="0"/>
      <w:marTop w:val="0"/>
      <w:marBottom w:val="0"/>
      <w:divBdr>
        <w:top w:val="none" w:sz="0" w:space="0" w:color="auto"/>
        <w:left w:val="none" w:sz="0" w:space="0" w:color="auto"/>
        <w:bottom w:val="none" w:sz="0" w:space="0" w:color="auto"/>
        <w:right w:val="none" w:sz="0" w:space="0" w:color="auto"/>
      </w:divBdr>
      <w:divsChild>
        <w:div w:id="1536455669">
          <w:marLeft w:val="0"/>
          <w:marRight w:val="0"/>
          <w:marTop w:val="0"/>
          <w:marBottom w:val="0"/>
          <w:divBdr>
            <w:top w:val="none" w:sz="0" w:space="0" w:color="auto"/>
            <w:left w:val="none" w:sz="0" w:space="0" w:color="auto"/>
            <w:bottom w:val="none" w:sz="0" w:space="0" w:color="auto"/>
            <w:right w:val="none" w:sz="0" w:space="0" w:color="auto"/>
          </w:divBdr>
        </w:div>
      </w:divsChild>
    </w:div>
    <w:div w:id="1525437458">
      <w:bodyDiv w:val="1"/>
      <w:marLeft w:val="0"/>
      <w:marRight w:val="0"/>
      <w:marTop w:val="0"/>
      <w:marBottom w:val="0"/>
      <w:divBdr>
        <w:top w:val="none" w:sz="0" w:space="0" w:color="auto"/>
        <w:left w:val="none" w:sz="0" w:space="0" w:color="auto"/>
        <w:bottom w:val="none" w:sz="0" w:space="0" w:color="auto"/>
        <w:right w:val="none" w:sz="0" w:space="0" w:color="auto"/>
      </w:divBdr>
      <w:divsChild>
        <w:div w:id="811867227">
          <w:marLeft w:val="0"/>
          <w:marRight w:val="0"/>
          <w:marTop w:val="0"/>
          <w:marBottom w:val="0"/>
          <w:divBdr>
            <w:top w:val="none" w:sz="0" w:space="0" w:color="auto"/>
            <w:left w:val="none" w:sz="0" w:space="0" w:color="auto"/>
            <w:bottom w:val="none" w:sz="0" w:space="0" w:color="auto"/>
            <w:right w:val="none" w:sz="0" w:space="0" w:color="auto"/>
          </w:divBdr>
        </w:div>
      </w:divsChild>
    </w:div>
    <w:div w:id="1628467876">
      <w:bodyDiv w:val="1"/>
      <w:marLeft w:val="0"/>
      <w:marRight w:val="0"/>
      <w:marTop w:val="0"/>
      <w:marBottom w:val="0"/>
      <w:divBdr>
        <w:top w:val="none" w:sz="0" w:space="0" w:color="auto"/>
        <w:left w:val="none" w:sz="0" w:space="0" w:color="auto"/>
        <w:bottom w:val="none" w:sz="0" w:space="0" w:color="auto"/>
        <w:right w:val="none" w:sz="0" w:space="0" w:color="auto"/>
      </w:divBdr>
    </w:div>
    <w:div w:id="206393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channel.1521.aade.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EE924E92BB54190990FE67987027D" ma:contentTypeVersion="28" ma:contentTypeDescription="Create a new document." ma:contentTypeScope="" ma:versionID="3d32b9303c5d84dc52541bd718c45d89">
  <xsd:schema xmlns:xsd="http://www.w3.org/2001/XMLSchema" xmlns:xs="http://www.w3.org/2001/XMLSchema" xmlns:p="http://schemas.microsoft.com/office/2006/metadata/properties" xmlns:ns1="http://schemas.microsoft.com/sharepoint/v3" xmlns:ns2="9300985e-39b3-4abd-9d78-758df8ad3c27" xmlns:ns3="1245a0cc-d3b5-453f-a25b-905cec2ffeda" targetNamespace="http://schemas.microsoft.com/office/2006/metadata/properties" ma:root="true" ma:fieldsID="ed7af26c7c3a1d5ae865c865f3921156" ns1:_="" ns2:_="" ns3:_="">
    <xsd:import namespace="http://schemas.microsoft.com/sharepoint/v3"/>
    <xsd:import namespace="9300985e-39b3-4abd-9d78-758df8ad3c27"/>
    <xsd:import namespace="1245a0cc-d3b5-453f-a25b-905cec2ffeda"/>
    <xsd:element name="properties">
      <xsd:complexType>
        <xsd:sequence>
          <xsd:element name="documentManagement">
            <xsd:complexType>
              <xsd:all>
                <xsd:element ref="ns3:Test" minOccurs="0"/>
                <xsd:element ref="ns3:Ic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91a9cc87bea49a1838df93b8271acb3" minOccurs="0"/>
                <xsd:element ref="ns2:TaxCatchAll" minOccurs="0"/>
                <xsd:element ref="ns2:TaxKeywordTaxHTField"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985e-39b3-4abd-9d78-758df8ad3c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3b4293-7e68-46ae-acbd-bb87084c35d5}" ma:internalName="TaxCatchAll" ma:showField="CatchAllData" ma:web="9300985e-39b3-4abd-9d78-758df8ad3c27">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fieldId="{23f27201-bee3-471e-b2e7-b64fd8b7ca38}" ma:taxonomyMulti="true" ma:sspId="6cc3e670-e3cd-4e3e-b247-833b089b6a3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5a0cc-d3b5-453f-a25b-905cec2ffeda" elementFormDefault="qualified">
    <xsd:import namespace="http://schemas.microsoft.com/office/2006/documentManagement/types"/>
    <xsd:import namespace="http://schemas.microsoft.com/office/infopath/2007/PartnerControls"/>
    <xsd:element name="Test" ma:index="3" nillable="true" ma:displayName="Expertise" ma:description="Areas of specialization" ma:format="Dropdown" ma:internalName="Test">
      <xsd:complexType>
        <xsd:complexContent>
          <xsd:extension base="dms:MultiChoiceFillIn">
            <xsd:sequence>
              <xsd:element name="Value" maxOccurs="unbounded" minOccurs="0" nillable="true">
                <xsd:simpleType>
                  <xsd:union memberTypes="dms:Text">
                    <xsd:simpleType>
                      <xsd:restriction base="dms:Choice">
                        <xsd:enumeration value="Electricity"/>
                        <xsd:enumeration value="Gas"/>
                        <xsd:enumeration value="Renewables"/>
                      </xsd:restriction>
                    </xsd:simpleType>
                  </xsd:union>
                </xsd:simpleType>
              </xsd:element>
            </xsd:sequence>
          </xsd:extension>
        </xsd:complexContent>
      </xsd:complexType>
    </xsd:element>
    <xsd:element name="Icon" ma:index="5" nillable="true" ma:displayName="Icon" ma:format="Image" ma:internalName="Ic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91a9cc87bea49a1838df93b8271acb3" ma:index="18" nillable="true" ma:taxonomy="true" ma:internalName="l91a9cc87bea49a1838df93b8271acb3" ma:taxonomyFieldName="ExpertIn" ma:displayName="ExpertIn" ma:default="" ma:fieldId="{591a9cc8-7bea-49a1-838d-f93b8271acb3}" ma:taxonomyMulti="true" ma:sspId="6cc3e670-e3cd-4e3e-b247-833b089b6a3f" ma:termSetId="7727eade-7942-4bb5-a7d4-2067a86b7bda" ma:anchorId="00000000-0000-0000-0000-000000000000" ma:open="tru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cc3e670-e3cd-4e3e-b247-833b089b6a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91a9cc87bea49a1838df93b8271acb3 xmlns="1245a0cc-d3b5-453f-a25b-905cec2ffeda">
      <Terms xmlns="http://schemas.microsoft.com/office/infopath/2007/PartnerControls"/>
    </l91a9cc87bea49a1838df93b8271acb3>
    <lcf76f155ced4ddcb4097134ff3c332f xmlns="1245a0cc-d3b5-453f-a25b-905cec2ffeda">
      <Terms xmlns="http://schemas.microsoft.com/office/infopath/2007/PartnerControls"/>
    </lcf76f155ced4ddcb4097134ff3c332f>
    <Test xmlns="1245a0cc-d3b5-453f-a25b-905cec2ffeda" xsi:nil="true"/>
    <TaxKeywordTaxHTField xmlns="9300985e-39b3-4abd-9d78-758df8ad3c27">
      <Terms xmlns="http://schemas.microsoft.com/office/infopath/2007/PartnerControls"/>
    </TaxKeywordTaxHTField>
    <Icon xmlns="1245a0cc-d3b5-453f-a25b-905cec2ffeda">
      <Url xsi:nil="true"/>
      <Description xsi:nil="true"/>
    </Icon>
    <_ip_UnifiedCompliancePolicyProperties xmlns="http://schemas.microsoft.com/sharepoint/v3" xsi:nil="true"/>
    <TaxCatchAll xmlns="9300985e-39b3-4abd-9d78-758df8ad3c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6492A-DF5C-4669-B6B4-E56947F1E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00985e-39b3-4abd-9d78-758df8ad3c27"/>
    <ds:schemaRef ds:uri="1245a0cc-d3b5-453f-a25b-905cec2ff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10BA3-86B1-48BD-9D8E-20EEA918C8B3}">
  <ds:schemaRefs>
    <ds:schemaRef ds:uri="http://schemas.microsoft.com/office/2006/metadata/properties"/>
    <ds:schemaRef ds:uri="http://schemas.microsoft.com/office/infopath/2007/PartnerControls"/>
    <ds:schemaRef ds:uri="http://schemas.microsoft.com/sharepoint/v3"/>
    <ds:schemaRef ds:uri="1245a0cc-d3b5-453f-a25b-905cec2ffeda"/>
    <ds:schemaRef ds:uri="9300985e-39b3-4abd-9d78-758df8ad3c27"/>
  </ds:schemaRefs>
</ds:datastoreItem>
</file>

<file path=customXml/itemProps3.xml><?xml version="1.0" encoding="utf-8"?>
<ds:datastoreItem xmlns:ds="http://schemas.openxmlformats.org/officeDocument/2006/customXml" ds:itemID="{3FC27C7E-6B4A-4366-8014-ACC3ECFF9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5288</Characters>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6255</CharactersWithSpaces>
  <SharedDoc>false</SharedDoc>
  <HLinks>
    <vt:vector size="12" baseType="variant">
      <vt:variant>
        <vt:i4>1900630</vt:i4>
      </vt:variant>
      <vt:variant>
        <vt:i4>3</vt:i4>
      </vt:variant>
      <vt:variant>
        <vt:i4>0</vt:i4>
      </vt:variant>
      <vt:variant>
        <vt:i4>5</vt:i4>
      </vt:variant>
      <vt:variant>
        <vt:lpwstr>https://allazothermansi-thermosifona.gov.gr/</vt:lpwstr>
      </vt:variant>
      <vt:variant>
        <vt:lpwstr/>
      </vt:variant>
      <vt:variant>
        <vt:i4>3342399</vt:i4>
      </vt:variant>
      <vt:variant>
        <vt:i4>0</vt:i4>
      </vt:variant>
      <vt:variant>
        <vt:i4>0</vt:i4>
      </vt:variant>
      <vt:variant>
        <vt:i4>5</vt:i4>
      </vt:variant>
      <vt:variant>
        <vt:lpwstr>https://exoikonomo2025.gov.gr/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2024-12-20T14:09:00Z</cp:lastPrinted>
  <dcterms:created xsi:type="dcterms:W3CDTF">2025-11-04T13:17:00Z</dcterms:created>
  <dcterms:modified xsi:type="dcterms:W3CDTF">2025-11-04T13:18:00Z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0x01010070CEE924E92BB54190990FE67987027D</vt:lpwstr>
  </property>
  <property fmtid="{D5CDD505-2E9C-101B-9397-08002B2CF9AE}" pid="3" name="TaxKeyword">
    <vt:lpwstr/>
  </property>
  <property fmtid="{D5CDD505-2E9C-101B-9397-08002B2CF9AE}" pid="4" name="MediaServiceImageTags">
    <vt:lpwstr/>
  </property>
  <property fmtid="{D5CDD505-2E9C-101B-9397-08002B2CF9AE}" pid="5" name="ExpertIn">
    <vt:lpwstr/>
  </property>
</Properties>
</file>