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7EB6" w14:textId="5C87FE26" w:rsidR="00674E35" w:rsidRPr="007B7A24" w:rsidRDefault="00674E35" w:rsidP="00674E35">
      <w:pPr>
        <w:pStyle w:val="1"/>
        <w:tabs>
          <w:tab w:val="left" w:pos="851"/>
        </w:tabs>
        <w:spacing w:before="0" w:after="0" w:line="276" w:lineRule="auto"/>
        <w:rPr>
          <w:rFonts w:cs="Calibri"/>
          <w:color w:val="auto"/>
          <w:lang w:val="el-GR"/>
        </w:rPr>
      </w:pPr>
      <w:bookmarkStart w:id="0" w:name="_Toc196914264"/>
      <w:bookmarkStart w:id="1" w:name="_Ref113444977"/>
      <w:bookmarkStart w:id="2" w:name="_Ref113445389"/>
      <w:bookmarkStart w:id="3" w:name="_Ref113445549"/>
      <w:bookmarkStart w:id="4" w:name="_Toc115165188"/>
      <w:bookmarkStart w:id="5" w:name="_GoBack"/>
      <w:r w:rsidRPr="007B7A24">
        <w:rPr>
          <w:rFonts w:cs="Calibri"/>
          <w:color w:val="auto"/>
          <w:lang w:val="el-GR"/>
        </w:rPr>
        <w:t>ΠΑΡΑΡΤΗΜΑ IΙΙ – ΠΙΝΑΚΕΣ ΟΙΚΟΝΟΜΙΚΗΣ ΠΡΟΣΦΟΡΑΣ</w:t>
      </w:r>
      <w:bookmarkEnd w:id="0"/>
      <w:bookmarkEnd w:id="1"/>
      <w:bookmarkEnd w:id="2"/>
      <w:bookmarkEnd w:id="3"/>
      <w:bookmarkEnd w:id="4"/>
    </w:p>
    <w:bookmarkEnd w:id="5"/>
    <w:p w14:paraId="53F4D9BE" w14:textId="77777777" w:rsidR="00674E35" w:rsidRPr="007B7A24" w:rsidRDefault="00674E35" w:rsidP="00674E35">
      <w:pPr>
        <w:widowControl w:val="0"/>
        <w:suppressAutoHyphens w:val="0"/>
        <w:autoSpaceDE w:val="0"/>
        <w:autoSpaceDN w:val="0"/>
        <w:spacing w:after="0" w:line="276" w:lineRule="auto"/>
        <w:ind w:right="57"/>
        <w:rPr>
          <w:rFonts w:eastAsia="Calibri"/>
          <w:szCs w:val="22"/>
          <w:lang w:val="el-GR" w:eastAsia="en-US"/>
        </w:rPr>
      </w:pPr>
      <w:r w:rsidRPr="007B7A24">
        <w:rPr>
          <w:rFonts w:eastAsia="Calibri"/>
          <w:szCs w:val="22"/>
          <w:lang w:val="el-GR" w:eastAsia="en-US"/>
        </w:rPr>
        <w:t xml:space="preserve">Η Οικονομική Προσφορά υποβάλλεται ηλεκτρονικά </w:t>
      </w:r>
      <w:r w:rsidRPr="007B7A24">
        <w:rPr>
          <w:rFonts w:eastAsia="Calibri"/>
          <w:szCs w:val="22"/>
          <w:u w:val="single"/>
          <w:lang w:val="el-GR" w:eastAsia="en-US"/>
        </w:rPr>
        <w:t>επί ποινή απορρίψεως</w:t>
      </w:r>
      <w:r w:rsidRPr="007B7A24">
        <w:rPr>
          <w:rFonts w:eastAsia="Calibri"/>
          <w:szCs w:val="22"/>
          <w:lang w:val="el-GR" w:eastAsia="en-US"/>
        </w:rPr>
        <w:t xml:space="preserve"> στον (υπό)φάκελο «Οικονομική Προσφορά» και συμπληρώνοντας την αντίστοιχη ειδική ηλεκτρονική φόρμα του Συστήματος ΕΣΗΔΗΣ. Ο προσφέρων επισυνάπτει στην οικονομική προσφορά του Συστήματος ΕΣΗΔΗΣ τα ψηφιακά υπογεγραμμένα σχετικά ηλεκτρονικά αρχεία των συμπληρωμένων του παρόντος Παραρτήματος της διακήρυξης μαζί με τη δήλωση του χρόνου ισχύος της οικονομικής προσφοράς.</w:t>
      </w:r>
    </w:p>
    <w:p w14:paraId="73522EC1" w14:textId="77777777" w:rsidR="00674E35" w:rsidRPr="007B7A24" w:rsidRDefault="00674E35" w:rsidP="00674E35">
      <w:pPr>
        <w:widowControl w:val="0"/>
        <w:suppressAutoHyphens w:val="0"/>
        <w:autoSpaceDE w:val="0"/>
        <w:autoSpaceDN w:val="0"/>
        <w:spacing w:after="0" w:line="276" w:lineRule="auto"/>
        <w:ind w:right="57"/>
        <w:rPr>
          <w:rFonts w:eastAsia="Calibri"/>
          <w:szCs w:val="22"/>
          <w:lang w:val="el-GR" w:eastAsia="en-US"/>
        </w:rPr>
      </w:pPr>
    </w:p>
    <w:p w14:paraId="32D88F0F" w14:textId="77777777" w:rsidR="00674E35" w:rsidRPr="007B7A24" w:rsidRDefault="00674E35" w:rsidP="00674E35">
      <w:pPr>
        <w:pStyle w:val="2"/>
        <w:spacing w:before="0" w:after="0" w:line="276" w:lineRule="auto"/>
        <w:rPr>
          <w:rFonts w:cs="Calibri"/>
          <w:color w:val="auto"/>
          <w:lang w:val="el-GR"/>
        </w:rPr>
      </w:pPr>
      <w:bookmarkStart w:id="6" w:name="_Toc86166944"/>
      <w:bookmarkStart w:id="7" w:name="_Toc95474712"/>
      <w:bookmarkStart w:id="8" w:name="_Toc115165189"/>
      <w:bookmarkStart w:id="9" w:name="_Toc196914265"/>
      <w:r w:rsidRPr="007B7A24">
        <w:rPr>
          <w:rFonts w:cs="Calibri"/>
          <w:color w:val="auto"/>
          <w:lang w:val="el-GR"/>
        </w:rPr>
        <w:t>Πίνακας Α Οικονομικής Προσφοράς Προμήθειας Έτοιμου Λογισμικού</w:t>
      </w:r>
      <w:bookmarkEnd w:id="6"/>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1262"/>
        <w:gridCol w:w="1550"/>
        <w:gridCol w:w="1041"/>
        <w:gridCol w:w="1056"/>
        <w:gridCol w:w="504"/>
        <w:gridCol w:w="844"/>
        <w:gridCol w:w="569"/>
        <w:gridCol w:w="976"/>
      </w:tblGrid>
      <w:tr w:rsidR="00674E35" w14:paraId="129233A5" w14:textId="77777777" w:rsidTr="004913E4">
        <w:trPr>
          <w:trHeight w:val="533"/>
          <w:tblHeader/>
        </w:trPr>
        <w:tc>
          <w:tcPr>
            <w:tcW w:w="257" w:type="pct"/>
            <w:vMerge w:val="restart"/>
            <w:shd w:val="clear" w:color="auto" w:fill="E6E6E6"/>
            <w:vAlign w:val="center"/>
          </w:tcPr>
          <w:p w14:paraId="38F5107C"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Α/Α</w:t>
            </w:r>
          </w:p>
        </w:tc>
        <w:tc>
          <w:tcPr>
            <w:tcW w:w="1149" w:type="pct"/>
            <w:vMerge w:val="restart"/>
            <w:shd w:val="clear" w:color="auto" w:fill="E6E6E6"/>
            <w:vAlign w:val="center"/>
          </w:tcPr>
          <w:p w14:paraId="2C863D50"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ΠΕΡΙΓΡΑΦΗ</w:t>
            </w:r>
          </w:p>
        </w:tc>
        <w:tc>
          <w:tcPr>
            <w:tcW w:w="805" w:type="pct"/>
            <w:vMerge w:val="restart"/>
            <w:shd w:val="clear" w:color="auto" w:fill="E6E6E6"/>
            <w:vAlign w:val="center"/>
          </w:tcPr>
          <w:p w14:paraId="34EAFEDB"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ΕΜΠΟΡΙΚΟ ΟΝΟΜΑ ΠΡΟΤΕΙΝΟΜΕΝΗΣ ΛΥΣΗΣ</w:t>
            </w:r>
          </w:p>
        </w:tc>
        <w:tc>
          <w:tcPr>
            <w:tcW w:w="595" w:type="pct"/>
            <w:vMerge w:val="restart"/>
            <w:shd w:val="clear" w:color="auto" w:fill="E6E6E6"/>
            <w:vAlign w:val="center"/>
          </w:tcPr>
          <w:p w14:paraId="363FD46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ΠΟΣΟΤΗΤΑ (άδειες χρήσης)</w:t>
            </w:r>
          </w:p>
        </w:tc>
        <w:tc>
          <w:tcPr>
            <w:tcW w:w="1392" w:type="pct"/>
            <w:gridSpan w:val="3"/>
            <w:shd w:val="clear" w:color="auto" w:fill="E6E6E6"/>
            <w:vAlign w:val="center"/>
          </w:tcPr>
          <w:p w14:paraId="49C439C6"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ΑΞΙΑ ΧΩΡΙΣ ΦΠΑ [€]</w:t>
            </w:r>
          </w:p>
        </w:tc>
        <w:tc>
          <w:tcPr>
            <w:tcW w:w="295" w:type="pct"/>
            <w:vMerge w:val="restart"/>
            <w:shd w:val="clear" w:color="auto" w:fill="E6E6E6"/>
            <w:vAlign w:val="center"/>
          </w:tcPr>
          <w:p w14:paraId="07E9504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ΦΠΑ [€]</w:t>
            </w:r>
          </w:p>
        </w:tc>
        <w:tc>
          <w:tcPr>
            <w:tcW w:w="507" w:type="pct"/>
            <w:vMerge w:val="restart"/>
            <w:shd w:val="clear" w:color="auto" w:fill="E6E6E6"/>
            <w:vAlign w:val="center"/>
          </w:tcPr>
          <w:p w14:paraId="1CB96420"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 xml:space="preserve">ΣΥΝΟΛΙΚΗ ΑΞΙΑ </w:t>
            </w:r>
          </w:p>
          <w:p w14:paraId="0F42D92C"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ΜΕ ΦΠΑ [€]</w:t>
            </w:r>
          </w:p>
        </w:tc>
      </w:tr>
      <w:tr w:rsidR="00674E35" w14:paraId="53ACF7C8" w14:textId="77777777" w:rsidTr="004913E4">
        <w:trPr>
          <w:trHeight w:val="403"/>
          <w:tblHeader/>
        </w:trPr>
        <w:tc>
          <w:tcPr>
            <w:tcW w:w="257" w:type="pct"/>
            <w:vMerge/>
            <w:shd w:val="clear" w:color="auto" w:fill="E6E6E6"/>
            <w:vAlign w:val="center"/>
          </w:tcPr>
          <w:p w14:paraId="0DD3FF6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1149" w:type="pct"/>
            <w:vMerge/>
            <w:shd w:val="clear" w:color="auto" w:fill="E6E6E6"/>
            <w:vAlign w:val="center"/>
          </w:tcPr>
          <w:p w14:paraId="18FB0B89"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805" w:type="pct"/>
            <w:vMerge/>
            <w:shd w:val="clear" w:color="auto" w:fill="E6E6E6"/>
            <w:vAlign w:val="center"/>
          </w:tcPr>
          <w:p w14:paraId="71F641C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95" w:type="pct"/>
            <w:vMerge/>
            <w:shd w:val="clear" w:color="auto" w:fill="E6E6E6"/>
            <w:vAlign w:val="center"/>
          </w:tcPr>
          <w:p w14:paraId="0F47A780"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95" w:type="pct"/>
            <w:shd w:val="clear" w:color="auto" w:fill="E6E6E6"/>
            <w:vAlign w:val="center"/>
          </w:tcPr>
          <w:p w14:paraId="4AF1925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pacing w:val="-4"/>
                <w:sz w:val="18"/>
                <w:szCs w:val="18"/>
                <w:lang w:val="el-GR" w:eastAsia="en-US"/>
              </w:rPr>
            </w:pPr>
            <w:r w:rsidRPr="001032C5">
              <w:rPr>
                <w:rFonts w:eastAsia="Calibri"/>
                <w:spacing w:val="-4"/>
                <w:sz w:val="18"/>
                <w:szCs w:val="18"/>
                <w:lang w:val="el-GR" w:eastAsia="en-US"/>
              </w:rPr>
              <w:t>ΤΙΜΗ</w:t>
            </w:r>
          </w:p>
          <w:p w14:paraId="30891B2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pacing w:val="-4"/>
                <w:sz w:val="18"/>
                <w:szCs w:val="18"/>
                <w:lang w:val="el-GR" w:eastAsia="en-US"/>
              </w:rPr>
            </w:pPr>
            <w:r w:rsidRPr="001032C5">
              <w:rPr>
                <w:rFonts w:eastAsia="Calibri"/>
                <w:spacing w:val="-4"/>
                <w:sz w:val="18"/>
                <w:szCs w:val="18"/>
                <w:lang w:val="el-GR" w:eastAsia="en-US"/>
              </w:rPr>
              <w:t>ΜΟΝΑΔΑΣ*</w:t>
            </w:r>
          </w:p>
        </w:tc>
        <w:tc>
          <w:tcPr>
            <w:tcW w:w="355" w:type="pct"/>
            <w:shd w:val="clear" w:color="auto" w:fill="E6E6E6"/>
            <w:vAlign w:val="center"/>
          </w:tcPr>
          <w:p w14:paraId="16E4974B" w14:textId="77777777" w:rsidR="00674E35" w:rsidRPr="00F511C2" w:rsidRDefault="00674E35" w:rsidP="004913E4">
            <w:pPr>
              <w:widowControl w:val="0"/>
              <w:suppressAutoHyphens w:val="0"/>
              <w:autoSpaceDE w:val="0"/>
              <w:autoSpaceDN w:val="0"/>
              <w:spacing w:after="0" w:line="276" w:lineRule="auto"/>
              <w:contextualSpacing/>
              <w:jc w:val="center"/>
              <w:rPr>
                <w:rFonts w:eastAsia="Calibri"/>
                <w:spacing w:val="-4"/>
                <w:sz w:val="18"/>
                <w:szCs w:val="18"/>
                <w:lang w:val="el-GR" w:eastAsia="en-US"/>
              </w:rPr>
            </w:pPr>
            <w:r w:rsidRPr="00F511C2">
              <w:rPr>
                <w:rFonts w:eastAsia="Calibri"/>
                <w:sz w:val="18"/>
                <w:szCs w:val="18"/>
                <w:lang w:val="en-US" w:eastAsia="en-US"/>
              </w:rPr>
              <w:t>ETH</w:t>
            </w:r>
          </w:p>
        </w:tc>
        <w:tc>
          <w:tcPr>
            <w:tcW w:w="442" w:type="pct"/>
            <w:shd w:val="clear" w:color="auto" w:fill="E6E6E6"/>
            <w:vAlign w:val="center"/>
          </w:tcPr>
          <w:p w14:paraId="5A8CDB15"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sz w:val="18"/>
                <w:szCs w:val="18"/>
                <w:lang w:val="el-GR" w:eastAsia="en-US"/>
              </w:rPr>
              <w:t>ΣΥΝΟΛΟ</w:t>
            </w:r>
          </w:p>
        </w:tc>
        <w:tc>
          <w:tcPr>
            <w:tcW w:w="295" w:type="pct"/>
            <w:vMerge/>
            <w:shd w:val="clear" w:color="auto" w:fill="E6E6E6"/>
            <w:vAlign w:val="center"/>
          </w:tcPr>
          <w:p w14:paraId="68BD8F5D"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07" w:type="pct"/>
            <w:vMerge/>
            <w:shd w:val="clear" w:color="auto" w:fill="E6E6E6"/>
            <w:vAlign w:val="center"/>
          </w:tcPr>
          <w:p w14:paraId="4B31E1B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r>
      <w:tr w:rsidR="00674E35" w14:paraId="2B7878A4" w14:textId="77777777" w:rsidTr="004913E4">
        <w:trPr>
          <w:trHeight w:val="259"/>
        </w:trPr>
        <w:tc>
          <w:tcPr>
            <w:tcW w:w="257" w:type="pct"/>
            <w:vAlign w:val="center"/>
          </w:tcPr>
          <w:p w14:paraId="2DAA8661" w14:textId="77777777" w:rsidR="00674E35" w:rsidRPr="00CF54EE" w:rsidRDefault="00674E35" w:rsidP="004913E4">
            <w:pPr>
              <w:widowControl w:val="0"/>
              <w:suppressAutoHyphens w:val="0"/>
              <w:autoSpaceDE w:val="0"/>
              <w:autoSpaceDN w:val="0"/>
              <w:spacing w:after="0" w:line="276" w:lineRule="auto"/>
              <w:jc w:val="center"/>
              <w:rPr>
                <w:rFonts w:eastAsia="Calibri"/>
                <w:sz w:val="18"/>
                <w:szCs w:val="18"/>
                <w:lang w:val="en-US" w:eastAsia="en-US"/>
              </w:rPr>
            </w:pPr>
            <w:r>
              <w:rPr>
                <w:rFonts w:eastAsia="Calibri"/>
                <w:sz w:val="18"/>
                <w:szCs w:val="18"/>
                <w:lang w:val="en-US" w:eastAsia="en-US"/>
              </w:rPr>
              <w:t>1.</w:t>
            </w:r>
          </w:p>
        </w:tc>
        <w:tc>
          <w:tcPr>
            <w:tcW w:w="1149" w:type="pct"/>
            <w:vAlign w:val="center"/>
          </w:tcPr>
          <w:p w14:paraId="01F1FF19" w14:textId="77777777" w:rsidR="00674E35" w:rsidRPr="001032C5" w:rsidRDefault="00674E35" w:rsidP="004913E4">
            <w:pPr>
              <w:widowControl w:val="0"/>
              <w:suppressAutoHyphens w:val="0"/>
              <w:autoSpaceDE w:val="0"/>
              <w:autoSpaceDN w:val="0"/>
              <w:spacing w:after="0" w:line="276" w:lineRule="auto"/>
              <w:contextualSpacing/>
              <w:rPr>
                <w:rFonts w:eastAsia="Calibri"/>
                <w:sz w:val="18"/>
                <w:szCs w:val="18"/>
                <w:lang w:val="en-US" w:eastAsia="en-US"/>
              </w:rPr>
            </w:pPr>
            <w:r w:rsidRPr="001032C5">
              <w:rPr>
                <w:rFonts w:eastAsia="Calibri"/>
                <w:sz w:val="18"/>
                <w:szCs w:val="18"/>
                <w:lang w:val="el-GR" w:eastAsia="en-US"/>
              </w:rPr>
              <w:t>Σύστημα</w:t>
            </w:r>
            <w:r w:rsidRPr="001032C5">
              <w:rPr>
                <w:rFonts w:eastAsia="Calibri"/>
                <w:sz w:val="18"/>
                <w:szCs w:val="18"/>
                <w:lang w:val="en-US" w:eastAsia="en-US"/>
              </w:rPr>
              <w:t xml:space="preserve"> </w:t>
            </w:r>
            <w:r>
              <w:rPr>
                <w:rFonts w:eastAsia="Calibri"/>
                <w:sz w:val="18"/>
                <w:szCs w:val="18"/>
                <w:lang w:val="en-US" w:eastAsia="en-US"/>
              </w:rPr>
              <w:t>IAM</w:t>
            </w:r>
            <w:r w:rsidRPr="001032C5">
              <w:rPr>
                <w:rFonts w:eastAsia="Calibri"/>
                <w:sz w:val="18"/>
                <w:szCs w:val="18"/>
                <w:lang w:val="en-US" w:eastAsia="en-US"/>
              </w:rPr>
              <w:t xml:space="preserve"> (</w:t>
            </w:r>
            <w:r>
              <w:rPr>
                <w:rFonts w:eastAsia="Calibri"/>
                <w:sz w:val="18"/>
                <w:szCs w:val="18"/>
                <w:lang w:val="en-US" w:eastAsia="en-US"/>
              </w:rPr>
              <w:t>Identity &amp; Access Rights Management</w:t>
            </w:r>
            <w:r w:rsidRPr="001032C5">
              <w:rPr>
                <w:rFonts w:eastAsia="Calibri"/>
                <w:sz w:val="18"/>
                <w:szCs w:val="18"/>
                <w:lang w:val="en-US" w:eastAsia="en-US"/>
              </w:rPr>
              <w:t>)</w:t>
            </w:r>
          </w:p>
        </w:tc>
        <w:tc>
          <w:tcPr>
            <w:tcW w:w="805" w:type="pct"/>
            <w:vAlign w:val="center"/>
          </w:tcPr>
          <w:p w14:paraId="3BD41CFA"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vAlign w:val="center"/>
          </w:tcPr>
          <w:p w14:paraId="536873D2"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shd w:val="clear" w:color="auto" w:fill="FFFFFF"/>
            <w:vAlign w:val="center"/>
          </w:tcPr>
          <w:p w14:paraId="69301754"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355" w:type="pct"/>
            <w:shd w:val="clear" w:color="auto" w:fill="FFFFFF"/>
            <w:vAlign w:val="center"/>
          </w:tcPr>
          <w:p w14:paraId="74FBDBC3"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442" w:type="pct"/>
            <w:vAlign w:val="center"/>
          </w:tcPr>
          <w:p w14:paraId="7D2AB768"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295" w:type="pct"/>
            <w:vAlign w:val="center"/>
          </w:tcPr>
          <w:p w14:paraId="6ACAFC73"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07" w:type="pct"/>
            <w:vAlign w:val="center"/>
          </w:tcPr>
          <w:p w14:paraId="0843C8BC"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r>
      <w:tr w:rsidR="00674E35" w14:paraId="1B65F4CA" w14:textId="77777777" w:rsidTr="004913E4">
        <w:trPr>
          <w:trHeight w:val="259"/>
        </w:trPr>
        <w:tc>
          <w:tcPr>
            <w:tcW w:w="257" w:type="pct"/>
            <w:vAlign w:val="center"/>
          </w:tcPr>
          <w:p w14:paraId="47B8E2BA"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n-US" w:eastAsia="en-US"/>
              </w:rPr>
            </w:pPr>
            <w:r>
              <w:rPr>
                <w:rFonts w:eastAsia="Calibri"/>
                <w:sz w:val="18"/>
                <w:szCs w:val="18"/>
                <w:lang w:val="en-US" w:eastAsia="en-US"/>
              </w:rPr>
              <w:t>2.</w:t>
            </w:r>
          </w:p>
        </w:tc>
        <w:tc>
          <w:tcPr>
            <w:tcW w:w="1149" w:type="pct"/>
            <w:vAlign w:val="center"/>
          </w:tcPr>
          <w:p w14:paraId="1ADEC76C" w14:textId="77777777" w:rsidR="00674E35" w:rsidRPr="001032C5" w:rsidRDefault="00674E35" w:rsidP="004913E4">
            <w:pPr>
              <w:widowControl w:val="0"/>
              <w:suppressAutoHyphens w:val="0"/>
              <w:autoSpaceDE w:val="0"/>
              <w:autoSpaceDN w:val="0"/>
              <w:spacing w:after="0" w:line="276" w:lineRule="auto"/>
              <w:contextualSpacing/>
              <w:rPr>
                <w:rFonts w:eastAsia="Calibri"/>
                <w:sz w:val="18"/>
                <w:szCs w:val="18"/>
                <w:lang w:val="en-US" w:eastAsia="en-US"/>
              </w:rPr>
            </w:pPr>
            <w:r w:rsidRPr="001032C5">
              <w:rPr>
                <w:rFonts w:eastAsia="Calibri"/>
                <w:sz w:val="18"/>
                <w:szCs w:val="18"/>
                <w:lang w:val="el-GR" w:eastAsia="en-US"/>
              </w:rPr>
              <w:t>Σύστημα</w:t>
            </w:r>
            <w:r w:rsidRPr="001032C5">
              <w:rPr>
                <w:rFonts w:eastAsia="Calibri"/>
                <w:sz w:val="18"/>
                <w:szCs w:val="18"/>
                <w:lang w:val="en-US" w:eastAsia="en-US"/>
              </w:rPr>
              <w:t xml:space="preserve"> PAM (Privileged Access Management) </w:t>
            </w:r>
          </w:p>
        </w:tc>
        <w:tc>
          <w:tcPr>
            <w:tcW w:w="805" w:type="pct"/>
            <w:vAlign w:val="center"/>
          </w:tcPr>
          <w:p w14:paraId="6F954982"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vAlign w:val="center"/>
          </w:tcPr>
          <w:p w14:paraId="4D31E0C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shd w:val="clear" w:color="auto" w:fill="FFFFFF"/>
            <w:vAlign w:val="center"/>
          </w:tcPr>
          <w:p w14:paraId="0D8A4449"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355" w:type="pct"/>
            <w:shd w:val="clear" w:color="auto" w:fill="FFFFFF"/>
            <w:vAlign w:val="center"/>
          </w:tcPr>
          <w:p w14:paraId="0C6A6B41"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442" w:type="pct"/>
            <w:vAlign w:val="center"/>
          </w:tcPr>
          <w:p w14:paraId="69A16212"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295" w:type="pct"/>
            <w:vAlign w:val="center"/>
          </w:tcPr>
          <w:p w14:paraId="6F3C34FD"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07" w:type="pct"/>
            <w:vAlign w:val="center"/>
          </w:tcPr>
          <w:p w14:paraId="73C9AFB0"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r>
      <w:tr w:rsidR="00674E35" w14:paraId="01857A96" w14:textId="77777777" w:rsidTr="004913E4">
        <w:trPr>
          <w:trHeight w:val="251"/>
        </w:trPr>
        <w:tc>
          <w:tcPr>
            <w:tcW w:w="257" w:type="pct"/>
            <w:vAlign w:val="center"/>
          </w:tcPr>
          <w:p w14:paraId="316CBAFB"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n-US" w:eastAsia="en-US"/>
              </w:rPr>
            </w:pPr>
            <w:r>
              <w:rPr>
                <w:rFonts w:eastAsia="Calibri"/>
                <w:sz w:val="18"/>
                <w:szCs w:val="18"/>
                <w:lang w:val="en-US" w:eastAsia="en-US"/>
              </w:rPr>
              <w:t>3.</w:t>
            </w:r>
          </w:p>
        </w:tc>
        <w:tc>
          <w:tcPr>
            <w:tcW w:w="1149" w:type="pct"/>
            <w:vAlign w:val="center"/>
          </w:tcPr>
          <w:p w14:paraId="334E019B" w14:textId="77777777" w:rsidR="00674E35" w:rsidRPr="001032C5" w:rsidRDefault="00674E35" w:rsidP="004913E4">
            <w:pPr>
              <w:widowControl w:val="0"/>
              <w:suppressAutoHyphens w:val="0"/>
              <w:autoSpaceDE w:val="0"/>
              <w:autoSpaceDN w:val="0"/>
              <w:spacing w:after="0" w:line="276" w:lineRule="auto"/>
              <w:contextualSpacing/>
              <w:rPr>
                <w:rFonts w:eastAsia="Calibri"/>
                <w:sz w:val="18"/>
                <w:szCs w:val="18"/>
                <w:lang w:val="en-US" w:eastAsia="en-US"/>
              </w:rPr>
            </w:pPr>
            <w:r w:rsidRPr="001032C5">
              <w:rPr>
                <w:rFonts w:eastAsia="Calibri"/>
                <w:sz w:val="18"/>
                <w:szCs w:val="18"/>
                <w:lang w:val="el-GR" w:eastAsia="en-US"/>
              </w:rPr>
              <w:t>Σύστημα</w:t>
            </w:r>
            <w:r w:rsidRPr="001032C5">
              <w:rPr>
                <w:rFonts w:eastAsia="Calibri"/>
                <w:sz w:val="18"/>
                <w:szCs w:val="18"/>
                <w:lang w:val="en-US" w:eastAsia="en-US"/>
              </w:rPr>
              <w:t xml:space="preserve"> SIEM (Security Information and Event Management) </w:t>
            </w:r>
          </w:p>
        </w:tc>
        <w:tc>
          <w:tcPr>
            <w:tcW w:w="805" w:type="pct"/>
            <w:vAlign w:val="center"/>
          </w:tcPr>
          <w:p w14:paraId="52A069A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vAlign w:val="center"/>
          </w:tcPr>
          <w:p w14:paraId="6F021D68"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shd w:val="clear" w:color="auto" w:fill="FFFFFF"/>
            <w:vAlign w:val="center"/>
          </w:tcPr>
          <w:p w14:paraId="3F2F14A5"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355" w:type="pct"/>
            <w:shd w:val="clear" w:color="auto" w:fill="FFFFFF"/>
            <w:vAlign w:val="center"/>
          </w:tcPr>
          <w:p w14:paraId="0C37CD25"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442" w:type="pct"/>
            <w:vAlign w:val="center"/>
          </w:tcPr>
          <w:p w14:paraId="53C5B7B1"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295" w:type="pct"/>
            <w:vAlign w:val="center"/>
          </w:tcPr>
          <w:p w14:paraId="6324E46E"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07" w:type="pct"/>
            <w:vAlign w:val="center"/>
          </w:tcPr>
          <w:p w14:paraId="195C35B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r>
      <w:tr w:rsidR="00674E35" w14:paraId="1803F9AA" w14:textId="77777777" w:rsidTr="004913E4">
        <w:trPr>
          <w:trHeight w:val="251"/>
        </w:trPr>
        <w:tc>
          <w:tcPr>
            <w:tcW w:w="257" w:type="pct"/>
            <w:vAlign w:val="center"/>
          </w:tcPr>
          <w:p w14:paraId="78BC7C71"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n-US" w:eastAsia="en-US"/>
              </w:rPr>
            </w:pPr>
            <w:r>
              <w:rPr>
                <w:rFonts w:eastAsia="Calibri"/>
                <w:sz w:val="18"/>
                <w:szCs w:val="18"/>
                <w:lang w:val="en-US" w:eastAsia="en-US"/>
              </w:rPr>
              <w:t>4.</w:t>
            </w:r>
          </w:p>
        </w:tc>
        <w:tc>
          <w:tcPr>
            <w:tcW w:w="1149" w:type="pct"/>
            <w:vAlign w:val="center"/>
          </w:tcPr>
          <w:p w14:paraId="71FF04D8" w14:textId="77777777" w:rsidR="00674E35" w:rsidRPr="001032C5" w:rsidRDefault="00674E35" w:rsidP="004913E4">
            <w:pPr>
              <w:widowControl w:val="0"/>
              <w:suppressAutoHyphens w:val="0"/>
              <w:autoSpaceDE w:val="0"/>
              <w:autoSpaceDN w:val="0"/>
              <w:spacing w:after="0" w:line="276" w:lineRule="auto"/>
              <w:contextualSpacing/>
              <w:rPr>
                <w:rFonts w:eastAsia="Calibri"/>
                <w:sz w:val="18"/>
                <w:szCs w:val="18"/>
                <w:lang w:val="el-GR" w:eastAsia="en-US"/>
              </w:rPr>
            </w:pPr>
            <w:r w:rsidRPr="001032C5">
              <w:rPr>
                <w:rFonts w:eastAsia="Calibri"/>
                <w:sz w:val="18"/>
                <w:szCs w:val="18"/>
                <w:lang w:val="el-GR" w:eastAsia="en-US"/>
              </w:rPr>
              <w:t xml:space="preserve">Σύστημα </w:t>
            </w:r>
            <w:proofErr w:type="spellStart"/>
            <w:r w:rsidRPr="001032C5">
              <w:rPr>
                <w:rFonts w:eastAsia="Calibri"/>
                <w:sz w:val="18"/>
                <w:szCs w:val="18"/>
                <w:lang w:val="el-GR" w:eastAsia="en-US"/>
              </w:rPr>
              <w:t>Data</w:t>
            </w:r>
            <w:proofErr w:type="spellEnd"/>
            <w:r w:rsidRPr="001032C5">
              <w:rPr>
                <w:rFonts w:eastAsia="Calibri"/>
                <w:sz w:val="18"/>
                <w:szCs w:val="18"/>
                <w:lang w:val="el-GR" w:eastAsia="en-US"/>
              </w:rPr>
              <w:t xml:space="preserve"> </w:t>
            </w:r>
            <w:proofErr w:type="spellStart"/>
            <w:r w:rsidRPr="001032C5">
              <w:rPr>
                <w:rFonts w:eastAsia="Calibri"/>
                <w:sz w:val="18"/>
                <w:szCs w:val="18"/>
                <w:lang w:val="el-GR" w:eastAsia="en-US"/>
              </w:rPr>
              <w:t>classification</w:t>
            </w:r>
            <w:proofErr w:type="spellEnd"/>
          </w:p>
        </w:tc>
        <w:tc>
          <w:tcPr>
            <w:tcW w:w="805" w:type="pct"/>
            <w:vAlign w:val="center"/>
          </w:tcPr>
          <w:p w14:paraId="5F69B958"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vAlign w:val="center"/>
          </w:tcPr>
          <w:p w14:paraId="75F84DF1"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95" w:type="pct"/>
            <w:shd w:val="clear" w:color="auto" w:fill="FFFFFF"/>
            <w:vAlign w:val="center"/>
          </w:tcPr>
          <w:p w14:paraId="51D302B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355" w:type="pct"/>
            <w:shd w:val="clear" w:color="auto" w:fill="FFFFFF"/>
            <w:vAlign w:val="center"/>
          </w:tcPr>
          <w:p w14:paraId="271D3E51"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442" w:type="pct"/>
            <w:vAlign w:val="center"/>
          </w:tcPr>
          <w:p w14:paraId="27EC769B"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295" w:type="pct"/>
            <w:vAlign w:val="center"/>
          </w:tcPr>
          <w:p w14:paraId="358ECF3B"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c>
          <w:tcPr>
            <w:tcW w:w="507" w:type="pct"/>
            <w:vAlign w:val="center"/>
          </w:tcPr>
          <w:p w14:paraId="42B0E9BE"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n-US" w:eastAsia="en-US"/>
              </w:rPr>
            </w:pPr>
          </w:p>
        </w:tc>
      </w:tr>
      <w:tr w:rsidR="00674E35" w14:paraId="18A2C08E" w14:textId="77777777" w:rsidTr="004913E4">
        <w:trPr>
          <w:trHeight w:val="259"/>
        </w:trPr>
        <w:tc>
          <w:tcPr>
            <w:tcW w:w="257" w:type="pct"/>
            <w:vAlign w:val="center"/>
          </w:tcPr>
          <w:p w14:paraId="6B8DA7DA" w14:textId="77777777" w:rsidR="00674E35" w:rsidRPr="001032C5" w:rsidRDefault="00674E35" w:rsidP="004913E4">
            <w:pPr>
              <w:widowControl w:val="0"/>
              <w:suppressAutoHyphens w:val="0"/>
              <w:autoSpaceDE w:val="0"/>
              <w:autoSpaceDN w:val="0"/>
              <w:spacing w:after="0" w:line="276" w:lineRule="auto"/>
              <w:rPr>
                <w:rFonts w:eastAsia="Calibri"/>
                <w:sz w:val="18"/>
                <w:szCs w:val="18"/>
                <w:lang w:val="en-US" w:eastAsia="en-US"/>
              </w:rPr>
            </w:pPr>
            <w:r w:rsidRPr="001032C5">
              <w:rPr>
                <w:rFonts w:eastAsia="Calibri"/>
                <w:sz w:val="18"/>
                <w:szCs w:val="18"/>
                <w:lang w:val="el-GR" w:eastAsia="en-US"/>
              </w:rPr>
              <w:t>……</w:t>
            </w:r>
          </w:p>
        </w:tc>
        <w:tc>
          <w:tcPr>
            <w:tcW w:w="1149" w:type="pct"/>
            <w:vAlign w:val="center"/>
          </w:tcPr>
          <w:p w14:paraId="346D3FC5" w14:textId="77777777" w:rsidR="00674E35" w:rsidRPr="001032C5" w:rsidRDefault="00674E35" w:rsidP="004913E4">
            <w:pPr>
              <w:widowControl w:val="0"/>
              <w:suppressAutoHyphens w:val="0"/>
              <w:autoSpaceDE w:val="0"/>
              <w:autoSpaceDN w:val="0"/>
              <w:spacing w:after="0" w:line="276" w:lineRule="auto"/>
              <w:contextualSpacing/>
              <w:jc w:val="left"/>
              <w:rPr>
                <w:rFonts w:eastAsia="Calibri"/>
                <w:sz w:val="18"/>
                <w:szCs w:val="18"/>
                <w:lang w:val="el-GR" w:eastAsia="en-US"/>
              </w:rPr>
            </w:pPr>
          </w:p>
        </w:tc>
        <w:tc>
          <w:tcPr>
            <w:tcW w:w="805" w:type="pct"/>
            <w:vAlign w:val="center"/>
          </w:tcPr>
          <w:p w14:paraId="5E343FDB"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95" w:type="pct"/>
            <w:vAlign w:val="center"/>
          </w:tcPr>
          <w:p w14:paraId="1582A5DA"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95" w:type="pct"/>
            <w:shd w:val="clear" w:color="auto" w:fill="FFFFFF"/>
            <w:vAlign w:val="center"/>
          </w:tcPr>
          <w:p w14:paraId="5021683F"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355" w:type="pct"/>
            <w:shd w:val="clear" w:color="auto" w:fill="FFFFFF"/>
            <w:vAlign w:val="center"/>
          </w:tcPr>
          <w:p w14:paraId="2CA920BD"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442" w:type="pct"/>
            <w:vAlign w:val="center"/>
          </w:tcPr>
          <w:p w14:paraId="6F59C30E"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295" w:type="pct"/>
            <w:vAlign w:val="center"/>
          </w:tcPr>
          <w:p w14:paraId="619CEC7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07" w:type="pct"/>
            <w:vAlign w:val="center"/>
          </w:tcPr>
          <w:p w14:paraId="5C287F26"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r>
      <w:tr w:rsidR="00674E35" w14:paraId="695FC222" w14:textId="77777777" w:rsidTr="004913E4">
        <w:trPr>
          <w:trHeight w:val="233"/>
        </w:trPr>
        <w:tc>
          <w:tcPr>
            <w:tcW w:w="257" w:type="pct"/>
            <w:shd w:val="clear" w:color="auto" w:fill="E6E6E6"/>
            <w:vAlign w:val="center"/>
          </w:tcPr>
          <w:p w14:paraId="36C1C2B5"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1149" w:type="pct"/>
            <w:shd w:val="clear" w:color="auto" w:fill="E6E6E6"/>
            <w:vAlign w:val="center"/>
          </w:tcPr>
          <w:p w14:paraId="4257594B"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b/>
                <w:sz w:val="18"/>
                <w:szCs w:val="18"/>
                <w:lang w:val="el-GR" w:eastAsia="en-US"/>
              </w:rPr>
            </w:pPr>
          </w:p>
        </w:tc>
        <w:tc>
          <w:tcPr>
            <w:tcW w:w="805" w:type="pct"/>
            <w:shd w:val="clear" w:color="auto" w:fill="E6E6E6"/>
            <w:vAlign w:val="center"/>
          </w:tcPr>
          <w:p w14:paraId="2C096D49"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95" w:type="pct"/>
            <w:shd w:val="clear" w:color="auto" w:fill="E6E6E6"/>
            <w:vAlign w:val="center"/>
          </w:tcPr>
          <w:p w14:paraId="00B25799"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950" w:type="pct"/>
            <w:gridSpan w:val="2"/>
            <w:shd w:val="clear" w:color="auto" w:fill="E6E6E6"/>
            <w:vAlign w:val="center"/>
          </w:tcPr>
          <w:p w14:paraId="54D74666"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r w:rsidRPr="001032C5">
              <w:rPr>
                <w:rFonts w:eastAsia="Calibri"/>
                <w:b/>
                <w:sz w:val="18"/>
                <w:szCs w:val="18"/>
                <w:lang w:val="el-GR" w:eastAsia="en-US"/>
              </w:rPr>
              <w:t>ΣΥΝΟΛΟ</w:t>
            </w:r>
          </w:p>
        </w:tc>
        <w:tc>
          <w:tcPr>
            <w:tcW w:w="442" w:type="pct"/>
            <w:shd w:val="clear" w:color="auto" w:fill="auto"/>
            <w:vAlign w:val="center"/>
          </w:tcPr>
          <w:p w14:paraId="61B48B46"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295" w:type="pct"/>
            <w:shd w:val="clear" w:color="auto" w:fill="auto"/>
            <w:vAlign w:val="center"/>
          </w:tcPr>
          <w:p w14:paraId="664FE806"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c>
          <w:tcPr>
            <w:tcW w:w="507" w:type="pct"/>
            <w:shd w:val="clear" w:color="auto" w:fill="auto"/>
            <w:vAlign w:val="center"/>
          </w:tcPr>
          <w:p w14:paraId="22852817" w14:textId="77777777" w:rsidR="00674E35" w:rsidRPr="001032C5" w:rsidRDefault="00674E35" w:rsidP="004913E4">
            <w:pPr>
              <w:widowControl w:val="0"/>
              <w:suppressAutoHyphens w:val="0"/>
              <w:autoSpaceDE w:val="0"/>
              <w:autoSpaceDN w:val="0"/>
              <w:spacing w:after="0" w:line="276" w:lineRule="auto"/>
              <w:contextualSpacing/>
              <w:jc w:val="center"/>
              <w:rPr>
                <w:rFonts w:eastAsia="Calibri"/>
                <w:sz w:val="18"/>
                <w:szCs w:val="18"/>
                <w:lang w:val="el-GR" w:eastAsia="en-US"/>
              </w:rPr>
            </w:pPr>
          </w:p>
        </w:tc>
      </w:tr>
    </w:tbl>
    <w:p w14:paraId="19A79302" w14:textId="77777777" w:rsidR="00674E35" w:rsidRPr="00BF7193" w:rsidRDefault="00674E35" w:rsidP="00674E35">
      <w:pPr>
        <w:widowControl w:val="0"/>
        <w:suppressAutoHyphens w:val="0"/>
        <w:autoSpaceDE w:val="0"/>
        <w:autoSpaceDN w:val="0"/>
        <w:spacing w:after="0" w:line="276" w:lineRule="auto"/>
        <w:jc w:val="left"/>
        <w:rPr>
          <w:rFonts w:eastAsia="Calibri"/>
          <w:b/>
          <w:bCs/>
          <w:sz w:val="24"/>
          <w:szCs w:val="22"/>
          <w:lang w:val="el-GR" w:eastAsia="en-US"/>
        </w:rPr>
      </w:pPr>
    </w:p>
    <w:p w14:paraId="4CBF627B" w14:textId="77777777" w:rsidR="00674E35" w:rsidRPr="00CF54EE" w:rsidRDefault="00674E35" w:rsidP="00674E35">
      <w:pPr>
        <w:widowControl w:val="0"/>
        <w:suppressAutoHyphens w:val="0"/>
        <w:autoSpaceDE w:val="0"/>
        <w:autoSpaceDN w:val="0"/>
        <w:spacing w:after="0" w:line="276" w:lineRule="auto"/>
        <w:jc w:val="left"/>
        <w:rPr>
          <w:rFonts w:eastAsia="Calibri"/>
          <w:bCs/>
          <w:sz w:val="20"/>
          <w:szCs w:val="22"/>
          <w:lang w:val="el-GR" w:eastAsia="en-US"/>
        </w:rPr>
      </w:pPr>
      <w:r w:rsidRPr="00F511C2">
        <w:rPr>
          <w:rFonts w:eastAsia="Calibri"/>
          <w:sz w:val="20"/>
          <w:lang w:val="el-GR" w:eastAsia="en-US"/>
        </w:rPr>
        <w:t>*</w:t>
      </w:r>
      <w:r w:rsidRPr="00BF7193">
        <w:rPr>
          <w:rFonts w:eastAsia="Calibri"/>
          <w:b/>
          <w:bCs/>
          <w:sz w:val="24"/>
          <w:szCs w:val="22"/>
          <w:lang w:val="el-GR" w:eastAsia="en-US"/>
        </w:rPr>
        <w:t xml:space="preserve"> </w:t>
      </w:r>
      <w:r w:rsidRPr="00CF54EE">
        <w:rPr>
          <w:rFonts w:eastAsia="Calibri"/>
          <w:bCs/>
          <w:sz w:val="20"/>
          <w:szCs w:val="22"/>
          <w:lang w:val="el-GR" w:eastAsia="en-US"/>
        </w:rPr>
        <w:t xml:space="preserve">Ζητείται η παροχή τιμής μονάδας ανά χρήστη και ανά έτος </w:t>
      </w:r>
    </w:p>
    <w:p w14:paraId="6531EFB5" w14:textId="77777777" w:rsidR="00674E35" w:rsidRPr="0063780E" w:rsidRDefault="00674E35" w:rsidP="00674E35">
      <w:pPr>
        <w:widowControl w:val="0"/>
        <w:suppressAutoHyphens w:val="0"/>
        <w:autoSpaceDE w:val="0"/>
        <w:autoSpaceDN w:val="0"/>
        <w:spacing w:after="0" w:line="276" w:lineRule="auto"/>
        <w:rPr>
          <w:rFonts w:eastAsia="Calibri"/>
          <w:bCs/>
          <w:sz w:val="20"/>
          <w:lang w:val="el-GR" w:eastAsia="en-US"/>
        </w:rPr>
      </w:pPr>
      <w:r>
        <w:rPr>
          <w:rFonts w:eastAsia="Calibri"/>
          <w:bCs/>
          <w:sz w:val="20"/>
          <w:lang w:val="el-GR" w:eastAsia="en-US"/>
        </w:rPr>
        <w:t xml:space="preserve">Σημειώνεται </w:t>
      </w:r>
      <w:r w:rsidRPr="0063780E">
        <w:rPr>
          <w:rFonts w:eastAsia="Calibri"/>
          <w:bCs/>
          <w:sz w:val="20"/>
          <w:lang w:val="el-GR" w:eastAsia="en-US"/>
        </w:rPr>
        <w:t>ότι αν σε κάποια κατηγορία προσφερθούν περισσότερα από ένα λογισμικά ώστε να καλυφθούν οι απαιτήσεις της διακήρυξης, τότε  για κάθε προσφερόμενο λογισμικό θα πρέπει να υπάρχει αναλυτική αναφορά σε ξεχωριστή γραμμή</w:t>
      </w:r>
      <w:r>
        <w:rPr>
          <w:rFonts w:eastAsia="Calibri"/>
          <w:bCs/>
          <w:sz w:val="20"/>
          <w:lang w:val="el-GR" w:eastAsia="en-US"/>
        </w:rPr>
        <w:t>.</w:t>
      </w:r>
    </w:p>
    <w:p w14:paraId="47C5E997" w14:textId="77777777" w:rsidR="00674E35" w:rsidRPr="00BF7193" w:rsidRDefault="00674E35" w:rsidP="00674E35">
      <w:pPr>
        <w:widowControl w:val="0"/>
        <w:suppressAutoHyphens w:val="0"/>
        <w:autoSpaceDE w:val="0"/>
        <w:autoSpaceDN w:val="0"/>
        <w:spacing w:after="0" w:line="276" w:lineRule="auto"/>
        <w:jc w:val="left"/>
        <w:rPr>
          <w:rFonts w:eastAsia="Calibri"/>
          <w:b/>
          <w:bCs/>
          <w:sz w:val="24"/>
          <w:szCs w:val="22"/>
          <w:lang w:val="el-GR" w:eastAsia="en-US"/>
        </w:rPr>
      </w:pPr>
      <w:bookmarkStart w:id="10" w:name="_Toc40458333"/>
    </w:p>
    <w:p w14:paraId="0E9F22D8" w14:textId="77777777" w:rsidR="00674E35" w:rsidRDefault="00674E35" w:rsidP="00674E35">
      <w:pPr>
        <w:pStyle w:val="2"/>
        <w:spacing w:before="0" w:after="0" w:line="276" w:lineRule="auto"/>
        <w:rPr>
          <w:rFonts w:cs="Calibri"/>
          <w:color w:val="auto"/>
          <w:lang w:val="el-GR"/>
        </w:rPr>
      </w:pPr>
      <w:bookmarkStart w:id="11" w:name="_Toc86166946"/>
      <w:bookmarkStart w:id="12" w:name="_Toc95474713"/>
      <w:bookmarkStart w:id="13" w:name="_Toc115165190"/>
      <w:bookmarkStart w:id="14" w:name="_Toc196914266"/>
      <w:r w:rsidRPr="00BF7193">
        <w:rPr>
          <w:rFonts w:cs="Calibri"/>
          <w:color w:val="auto"/>
          <w:lang w:val="el-GR"/>
        </w:rPr>
        <w:t>Πίνακας Β Οικονομικής Προσφοράς Υπηρεσ</w:t>
      </w:r>
      <w:bookmarkEnd w:id="10"/>
      <w:bookmarkEnd w:id="11"/>
      <w:r w:rsidRPr="00BF7193">
        <w:rPr>
          <w:rFonts w:cs="Calibri"/>
          <w:color w:val="auto"/>
          <w:lang w:val="el-GR"/>
        </w:rPr>
        <w:t>ιών</w:t>
      </w:r>
      <w:bookmarkEnd w:id="12"/>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652"/>
        <w:gridCol w:w="1083"/>
        <w:gridCol w:w="1158"/>
        <w:gridCol w:w="1906"/>
      </w:tblGrid>
      <w:tr w:rsidR="00674E35" w14:paraId="11C91037" w14:textId="77777777" w:rsidTr="004913E4">
        <w:trPr>
          <w:cantSplit/>
          <w:tblHeader/>
        </w:trPr>
        <w:tc>
          <w:tcPr>
            <w:tcW w:w="299" w:type="pct"/>
            <w:vMerge w:val="restart"/>
            <w:shd w:val="clear" w:color="auto" w:fill="E6E6E6"/>
            <w:vAlign w:val="center"/>
          </w:tcPr>
          <w:p w14:paraId="0A087BE8"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001032C5">
              <w:rPr>
                <w:rFonts w:eastAsia="Calibri"/>
                <w:sz w:val="18"/>
                <w:szCs w:val="18"/>
                <w:lang w:val="el-GR" w:eastAsia="en-US"/>
              </w:rPr>
              <w:t>Α/Α</w:t>
            </w:r>
          </w:p>
        </w:tc>
        <w:tc>
          <w:tcPr>
            <w:tcW w:w="2201" w:type="pct"/>
            <w:vMerge w:val="restart"/>
            <w:shd w:val="clear" w:color="auto" w:fill="E6E6E6"/>
            <w:vAlign w:val="center"/>
          </w:tcPr>
          <w:p w14:paraId="0286390B"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sidRPr="001032C5">
              <w:rPr>
                <w:rFonts w:eastAsia="Calibri"/>
                <w:sz w:val="18"/>
                <w:szCs w:val="18"/>
                <w:lang w:val="el-GR" w:eastAsia="en-US"/>
              </w:rPr>
              <w:t>ΠΕΡΙΓΡΑΦΗ</w:t>
            </w:r>
          </w:p>
        </w:tc>
        <w:tc>
          <w:tcPr>
            <w:tcW w:w="653" w:type="pct"/>
            <w:shd w:val="clear" w:color="auto" w:fill="E6E6E6"/>
            <w:vAlign w:val="center"/>
          </w:tcPr>
          <w:p w14:paraId="72471297"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001032C5">
              <w:rPr>
                <w:rFonts w:eastAsia="Calibri"/>
                <w:sz w:val="18"/>
                <w:szCs w:val="18"/>
                <w:lang w:val="el-GR" w:eastAsia="en-US"/>
              </w:rPr>
              <w:t>ΑΞΙΑ ΧΩΡΙΣ ΦΠΑ [€]</w:t>
            </w:r>
          </w:p>
        </w:tc>
        <w:tc>
          <w:tcPr>
            <w:tcW w:w="698" w:type="pct"/>
            <w:vMerge w:val="restart"/>
            <w:shd w:val="clear" w:color="auto" w:fill="E6E6E6"/>
            <w:vAlign w:val="center"/>
          </w:tcPr>
          <w:p w14:paraId="2BA12285"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001032C5">
              <w:rPr>
                <w:rFonts w:eastAsia="Calibri"/>
                <w:sz w:val="18"/>
                <w:szCs w:val="18"/>
                <w:lang w:val="el-GR" w:eastAsia="en-US"/>
              </w:rPr>
              <w:t>ΦΠΑ [€]</w:t>
            </w:r>
          </w:p>
        </w:tc>
        <w:tc>
          <w:tcPr>
            <w:tcW w:w="1150" w:type="pct"/>
            <w:vMerge w:val="restart"/>
            <w:shd w:val="clear" w:color="auto" w:fill="E6E6E6"/>
            <w:vAlign w:val="center"/>
          </w:tcPr>
          <w:p w14:paraId="5FB615DE"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001032C5">
              <w:rPr>
                <w:rFonts w:eastAsia="Calibri"/>
                <w:sz w:val="18"/>
                <w:szCs w:val="18"/>
                <w:lang w:val="el-GR" w:eastAsia="en-US"/>
              </w:rPr>
              <w:t xml:space="preserve">ΣΥΝΟΛΙΚΗ ΑΞΙΑ </w:t>
            </w:r>
          </w:p>
          <w:p w14:paraId="6771BF69"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001032C5">
              <w:rPr>
                <w:rFonts w:eastAsia="Calibri"/>
                <w:sz w:val="18"/>
                <w:szCs w:val="18"/>
                <w:lang w:val="el-GR" w:eastAsia="en-US"/>
              </w:rPr>
              <w:t>ΜΕ ΦΠΑ [€]</w:t>
            </w:r>
          </w:p>
        </w:tc>
      </w:tr>
      <w:tr w:rsidR="00674E35" w14:paraId="68CCC8BC" w14:textId="77777777" w:rsidTr="004913E4">
        <w:trPr>
          <w:cantSplit/>
        </w:trPr>
        <w:tc>
          <w:tcPr>
            <w:tcW w:w="299" w:type="pct"/>
            <w:vMerge/>
            <w:vAlign w:val="center"/>
          </w:tcPr>
          <w:p w14:paraId="697FC520"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2201" w:type="pct"/>
            <w:vMerge/>
            <w:vAlign w:val="center"/>
          </w:tcPr>
          <w:p w14:paraId="65BA50D6"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p>
        </w:tc>
        <w:tc>
          <w:tcPr>
            <w:tcW w:w="653" w:type="pct"/>
            <w:shd w:val="clear" w:color="auto" w:fill="E6E6E6"/>
          </w:tcPr>
          <w:p w14:paraId="37BC1761"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r w:rsidRPr="10016864">
              <w:rPr>
                <w:rFonts w:eastAsia="Calibri"/>
                <w:sz w:val="18"/>
                <w:szCs w:val="18"/>
                <w:lang w:val="el-GR" w:eastAsia="en-US"/>
              </w:rPr>
              <w:t>ΣΥΝΟΛΟ</w:t>
            </w:r>
          </w:p>
        </w:tc>
        <w:tc>
          <w:tcPr>
            <w:tcW w:w="698" w:type="pct"/>
            <w:vMerge/>
            <w:vAlign w:val="center"/>
          </w:tcPr>
          <w:p w14:paraId="45D9C4D2"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Merge/>
            <w:vAlign w:val="center"/>
          </w:tcPr>
          <w:p w14:paraId="4E608B4C"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25F8F8CF" w14:textId="77777777" w:rsidTr="004913E4">
        <w:trPr>
          <w:trHeight w:val="284"/>
        </w:trPr>
        <w:tc>
          <w:tcPr>
            <w:tcW w:w="299" w:type="pct"/>
            <w:vAlign w:val="center"/>
          </w:tcPr>
          <w:p w14:paraId="133DC43E"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1</w:t>
            </w:r>
          </w:p>
        </w:tc>
        <w:tc>
          <w:tcPr>
            <w:tcW w:w="2201" w:type="pct"/>
          </w:tcPr>
          <w:p w14:paraId="439E403C"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Υπηρεσίες Φάσης Α’ – Διαχείριση έργου</w:t>
            </w:r>
          </w:p>
        </w:tc>
        <w:tc>
          <w:tcPr>
            <w:tcW w:w="653" w:type="pct"/>
            <w:vAlign w:val="center"/>
          </w:tcPr>
          <w:p w14:paraId="2913231A"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5E366619"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67F7BC20"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0A1ABBE1" w14:textId="77777777" w:rsidTr="004913E4">
        <w:trPr>
          <w:trHeight w:val="284"/>
        </w:trPr>
        <w:tc>
          <w:tcPr>
            <w:tcW w:w="299" w:type="pct"/>
            <w:vAlign w:val="center"/>
          </w:tcPr>
          <w:p w14:paraId="5B6DE73A"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2</w:t>
            </w:r>
          </w:p>
        </w:tc>
        <w:tc>
          <w:tcPr>
            <w:tcW w:w="2201" w:type="pct"/>
          </w:tcPr>
          <w:p w14:paraId="224C8798"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Υπηρεσίες Φάσης Β’ – Μελετητικές υπηρεσίες</w:t>
            </w:r>
          </w:p>
        </w:tc>
        <w:tc>
          <w:tcPr>
            <w:tcW w:w="653" w:type="pct"/>
            <w:vAlign w:val="center"/>
          </w:tcPr>
          <w:p w14:paraId="6CFA9ECB"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65AAC403"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632E8114"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01A98CDB" w14:textId="77777777" w:rsidTr="004913E4">
        <w:trPr>
          <w:trHeight w:val="284"/>
        </w:trPr>
        <w:tc>
          <w:tcPr>
            <w:tcW w:w="299" w:type="pct"/>
            <w:vAlign w:val="center"/>
          </w:tcPr>
          <w:p w14:paraId="3EA65186"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3</w:t>
            </w:r>
          </w:p>
        </w:tc>
        <w:tc>
          <w:tcPr>
            <w:tcW w:w="2201" w:type="pct"/>
          </w:tcPr>
          <w:p w14:paraId="0D9250A8"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Υπηρεσίες Φάσης Γ’ – Υπηρεσίες εγκατάστασης, παραμετροποίησης και τεκμηρίωσης</w:t>
            </w:r>
          </w:p>
        </w:tc>
        <w:tc>
          <w:tcPr>
            <w:tcW w:w="653" w:type="pct"/>
            <w:vAlign w:val="center"/>
          </w:tcPr>
          <w:p w14:paraId="412D01BE"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76A89F27"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3DEE7FCC"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041D58AE" w14:textId="77777777" w:rsidTr="004913E4">
        <w:trPr>
          <w:trHeight w:val="284"/>
        </w:trPr>
        <w:tc>
          <w:tcPr>
            <w:tcW w:w="299" w:type="pct"/>
            <w:vAlign w:val="center"/>
          </w:tcPr>
          <w:p w14:paraId="608D5592"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4</w:t>
            </w:r>
          </w:p>
        </w:tc>
        <w:tc>
          <w:tcPr>
            <w:tcW w:w="2201" w:type="pct"/>
          </w:tcPr>
          <w:p w14:paraId="29189BBB"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 xml:space="preserve">Υπηρεσίες Φάσης Δ’ – Υπηρεσίες </w:t>
            </w:r>
            <w:r>
              <w:rPr>
                <w:rFonts w:eastAsia="Calibri"/>
                <w:sz w:val="18"/>
                <w:szCs w:val="18"/>
                <w:lang w:val="en-US" w:eastAsia="en-US"/>
              </w:rPr>
              <w:t>SOC</w:t>
            </w:r>
          </w:p>
        </w:tc>
        <w:tc>
          <w:tcPr>
            <w:tcW w:w="653" w:type="pct"/>
            <w:vAlign w:val="center"/>
          </w:tcPr>
          <w:p w14:paraId="301B2422"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1C4605F8"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455FB7DC"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18404FDA" w14:textId="77777777" w:rsidTr="004913E4">
        <w:trPr>
          <w:trHeight w:val="284"/>
        </w:trPr>
        <w:tc>
          <w:tcPr>
            <w:tcW w:w="299" w:type="pct"/>
            <w:vAlign w:val="center"/>
          </w:tcPr>
          <w:p w14:paraId="74DFB1F2"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5</w:t>
            </w:r>
          </w:p>
        </w:tc>
        <w:tc>
          <w:tcPr>
            <w:tcW w:w="2201" w:type="pct"/>
          </w:tcPr>
          <w:p w14:paraId="44BA8D98"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 xml:space="preserve">Υπηρεσίες Φάσης </w:t>
            </w:r>
            <w:r>
              <w:rPr>
                <w:rFonts w:eastAsia="Calibri"/>
                <w:sz w:val="18"/>
                <w:szCs w:val="18"/>
                <w:lang w:val="en-US" w:eastAsia="en-US"/>
              </w:rPr>
              <w:t>E</w:t>
            </w:r>
            <w:r>
              <w:rPr>
                <w:rFonts w:eastAsia="Calibri"/>
                <w:sz w:val="18"/>
                <w:szCs w:val="18"/>
                <w:lang w:val="el-GR" w:eastAsia="en-US"/>
              </w:rPr>
              <w:t>’ – Υπηρεσίες εκπαίδευσης</w:t>
            </w:r>
          </w:p>
        </w:tc>
        <w:tc>
          <w:tcPr>
            <w:tcW w:w="653" w:type="pct"/>
            <w:vAlign w:val="center"/>
          </w:tcPr>
          <w:p w14:paraId="43D6E3A6"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25E83292"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57E8C7A8"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14E39343" w14:textId="77777777" w:rsidTr="004913E4">
        <w:trPr>
          <w:trHeight w:val="284"/>
        </w:trPr>
        <w:tc>
          <w:tcPr>
            <w:tcW w:w="299" w:type="pct"/>
            <w:vAlign w:val="center"/>
          </w:tcPr>
          <w:p w14:paraId="76440D2C" w14:textId="77777777" w:rsidR="00674E35" w:rsidRPr="00CF54EE" w:rsidRDefault="00674E35" w:rsidP="004913E4">
            <w:pPr>
              <w:widowControl w:val="0"/>
              <w:suppressAutoHyphens w:val="0"/>
              <w:autoSpaceDE w:val="0"/>
              <w:autoSpaceDN w:val="0"/>
              <w:spacing w:after="0" w:line="276" w:lineRule="auto"/>
              <w:ind w:left="35"/>
              <w:rPr>
                <w:rFonts w:eastAsia="Calibri"/>
                <w:sz w:val="18"/>
                <w:szCs w:val="18"/>
                <w:lang w:val="en-US" w:eastAsia="en-US"/>
              </w:rPr>
            </w:pPr>
            <w:r>
              <w:rPr>
                <w:rFonts w:eastAsia="Calibri"/>
                <w:sz w:val="18"/>
                <w:szCs w:val="18"/>
                <w:lang w:val="en-US" w:eastAsia="en-US"/>
              </w:rPr>
              <w:t>6</w:t>
            </w:r>
          </w:p>
        </w:tc>
        <w:tc>
          <w:tcPr>
            <w:tcW w:w="2201" w:type="pct"/>
          </w:tcPr>
          <w:p w14:paraId="2BBA4CEB"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r>
              <w:rPr>
                <w:rFonts w:eastAsia="Calibri"/>
                <w:sz w:val="18"/>
                <w:szCs w:val="18"/>
                <w:lang w:val="el-GR" w:eastAsia="en-US"/>
              </w:rPr>
              <w:t>Υπηρεσίες Φάσης ΣΤ’ – Υπηρεσίες Πιλοτικής και Ένταξης σε Παραγωγική Λειτουργία</w:t>
            </w:r>
          </w:p>
        </w:tc>
        <w:tc>
          <w:tcPr>
            <w:tcW w:w="653" w:type="pct"/>
            <w:vAlign w:val="center"/>
          </w:tcPr>
          <w:p w14:paraId="252597A2"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vAlign w:val="center"/>
          </w:tcPr>
          <w:p w14:paraId="2E36E789"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vAlign w:val="center"/>
          </w:tcPr>
          <w:p w14:paraId="0B5D49C4"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r w:rsidR="00674E35" w:rsidRPr="004913E4" w14:paraId="3F864F46" w14:textId="77777777" w:rsidTr="004913E4">
        <w:trPr>
          <w:trHeight w:val="284"/>
        </w:trPr>
        <w:tc>
          <w:tcPr>
            <w:tcW w:w="299" w:type="pct"/>
            <w:shd w:val="clear" w:color="auto" w:fill="D9D9D9"/>
            <w:vAlign w:val="center"/>
          </w:tcPr>
          <w:p w14:paraId="79952783"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p>
        </w:tc>
        <w:tc>
          <w:tcPr>
            <w:tcW w:w="2201" w:type="pct"/>
            <w:shd w:val="clear" w:color="auto" w:fill="D9D9D9"/>
            <w:vAlign w:val="center"/>
          </w:tcPr>
          <w:p w14:paraId="6A19B2F1" w14:textId="77777777" w:rsidR="00674E35" w:rsidRPr="001032C5" w:rsidRDefault="00674E35" w:rsidP="004913E4">
            <w:pPr>
              <w:widowControl w:val="0"/>
              <w:suppressAutoHyphens w:val="0"/>
              <w:autoSpaceDE w:val="0"/>
              <w:autoSpaceDN w:val="0"/>
              <w:spacing w:after="0" w:line="276" w:lineRule="auto"/>
              <w:jc w:val="left"/>
              <w:rPr>
                <w:rFonts w:eastAsia="Calibri"/>
                <w:sz w:val="18"/>
                <w:szCs w:val="18"/>
                <w:lang w:val="el-GR" w:eastAsia="en-US"/>
              </w:rPr>
            </w:pPr>
          </w:p>
        </w:tc>
        <w:tc>
          <w:tcPr>
            <w:tcW w:w="653" w:type="pct"/>
            <w:shd w:val="clear" w:color="auto" w:fill="FFFFFF"/>
            <w:vAlign w:val="center"/>
          </w:tcPr>
          <w:p w14:paraId="76F2A62F"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698" w:type="pct"/>
            <w:shd w:val="clear" w:color="auto" w:fill="FFFFFF"/>
            <w:vAlign w:val="center"/>
          </w:tcPr>
          <w:p w14:paraId="55DE42B9"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c>
          <w:tcPr>
            <w:tcW w:w="1150" w:type="pct"/>
            <w:shd w:val="clear" w:color="auto" w:fill="FFFFFF"/>
            <w:vAlign w:val="center"/>
          </w:tcPr>
          <w:p w14:paraId="4AB2918B" w14:textId="77777777" w:rsidR="00674E35" w:rsidRPr="001032C5" w:rsidRDefault="00674E35" w:rsidP="004913E4">
            <w:pPr>
              <w:widowControl w:val="0"/>
              <w:suppressAutoHyphens w:val="0"/>
              <w:autoSpaceDE w:val="0"/>
              <w:autoSpaceDN w:val="0"/>
              <w:spacing w:after="0" w:line="276" w:lineRule="auto"/>
              <w:jc w:val="center"/>
              <w:rPr>
                <w:rFonts w:eastAsia="Calibri"/>
                <w:sz w:val="18"/>
                <w:szCs w:val="18"/>
                <w:lang w:val="el-GR" w:eastAsia="en-US"/>
              </w:rPr>
            </w:pPr>
          </w:p>
        </w:tc>
      </w:tr>
    </w:tbl>
    <w:p w14:paraId="1E9BF8BD" w14:textId="77777777" w:rsidR="00674E35" w:rsidRDefault="00674E35" w:rsidP="00674E35">
      <w:pPr>
        <w:widowControl w:val="0"/>
        <w:suppressAutoHyphens w:val="0"/>
        <w:autoSpaceDE w:val="0"/>
        <w:autoSpaceDN w:val="0"/>
        <w:spacing w:after="0" w:line="276" w:lineRule="auto"/>
        <w:ind w:right="57"/>
        <w:rPr>
          <w:rFonts w:eastAsia="Calibri"/>
          <w:szCs w:val="22"/>
          <w:lang w:val="el-GR" w:eastAsia="en-US"/>
        </w:rPr>
      </w:pPr>
    </w:p>
    <w:p w14:paraId="60A22900" w14:textId="77777777" w:rsidR="00674E35" w:rsidRDefault="00674E35" w:rsidP="00674E35">
      <w:pPr>
        <w:widowControl w:val="0"/>
        <w:suppressAutoHyphens w:val="0"/>
        <w:autoSpaceDE w:val="0"/>
        <w:autoSpaceDN w:val="0"/>
        <w:spacing w:after="0" w:line="276" w:lineRule="auto"/>
        <w:ind w:right="57"/>
        <w:rPr>
          <w:rFonts w:eastAsia="Calibri"/>
          <w:szCs w:val="22"/>
          <w:lang w:val="el-GR" w:eastAsia="en-US"/>
        </w:rPr>
      </w:pPr>
    </w:p>
    <w:p w14:paraId="480BC3A2" w14:textId="77777777" w:rsidR="00674E35" w:rsidRDefault="00674E35" w:rsidP="00674E35">
      <w:pPr>
        <w:widowControl w:val="0"/>
        <w:suppressAutoHyphens w:val="0"/>
        <w:autoSpaceDE w:val="0"/>
        <w:autoSpaceDN w:val="0"/>
        <w:spacing w:after="0" w:line="276" w:lineRule="auto"/>
        <w:ind w:right="57"/>
        <w:rPr>
          <w:rFonts w:eastAsia="Calibri"/>
          <w:szCs w:val="22"/>
          <w:lang w:val="el-GR" w:eastAsia="en-US"/>
        </w:rPr>
      </w:pPr>
    </w:p>
    <w:p w14:paraId="065D0781" w14:textId="77777777" w:rsidR="00674E35" w:rsidRPr="00414873" w:rsidRDefault="00674E35" w:rsidP="00674E35">
      <w:pPr>
        <w:pStyle w:val="2"/>
        <w:spacing w:before="0" w:after="0" w:line="276" w:lineRule="auto"/>
        <w:rPr>
          <w:rFonts w:cs="Calibri"/>
          <w:color w:val="auto"/>
          <w:lang w:val="el-GR"/>
        </w:rPr>
      </w:pPr>
      <w:bookmarkStart w:id="15" w:name="_Ref281862041"/>
      <w:bookmarkStart w:id="16" w:name="_Toc296503859"/>
      <w:bookmarkStart w:id="17" w:name="_Toc297727874"/>
      <w:bookmarkStart w:id="18" w:name="_Toc308006566"/>
      <w:bookmarkStart w:id="19" w:name="_Toc308007236"/>
      <w:bookmarkStart w:id="20" w:name="_Toc308177410"/>
      <w:bookmarkStart w:id="21" w:name="_Toc90552091"/>
      <w:bookmarkStart w:id="22" w:name="_Toc196914267"/>
      <w:bookmarkStart w:id="23" w:name="_Toc114566480"/>
      <w:r w:rsidRPr="00414873">
        <w:rPr>
          <w:rFonts w:cs="Calibri"/>
          <w:color w:val="auto"/>
          <w:lang w:val="el-GR"/>
        </w:rPr>
        <w:t>Πίνακας Γ:</w:t>
      </w:r>
      <w:bookmarkEnd w:id="15"/>
      <w:bookmarkEnd w:id="16"/>
      <w:bookmarkEnd w:id="17"/>
      <w:bookmarkEnd w:id="18"/>
      <w:bookmarkEnd w:id="19"/>
      <w:bookmarkEnd w:id="20"/>
      <w:r w:rsidRPr="00414873">
        <w:rPr>
          <w:rFonts w:cs="Calibri"/>
          <w:color w:val="auto"/>
          <w:lang w:val="el-GR"/>
        </w:rPr>
        <w:t xml:space="preserve"> Οικονομική προσφορά </w:t>
      </w:r>
      <w:r>
        <w:rPr>
          <w:rFonts w:cs="Calibri"/>
          <w:color w:val="auto"/>
          <w:lang w:val="el-GR"/>
        </w:rPr>
        <w:t>σ</w:t>
      </w:r>
      <w:r w:rsidRPr="00414873">
        <w:rPr>
          <w:rFonts w:cs="Calibri"/>
          <w:color w:val="auto"/>
          <w:lang w:val="el-GR"/>
        </w:rPr>
        <w:t>υντήρησης</w:t>
      </w:r>
      <w:r>
        <w:rPr>
          <w:rFonts w:cs="Calibri"/>
          <w:color w:val="auto"/>
          <w:lang w:val="el-GR"/>
        </w:rPr>
        <w:t xml:space="preserve"> και ανανέωσης αδειών χρήσης</w:t>
      </w:r>
      <w:r w:rsidRPr="00414873">
        <w:rPr>
          <w:rFonts w:cs="Calibri"/>
          <w:color w:val="auto"/>
          <w:lang w:val="el-GR"/>
        </w:rPr>
        <w:t xml:space="preserve"> (Σύμφωνα με την παράγραφο </w:t>
      </w:r>
      <w:r>
        <w:rPr>
          <w:rFonts w:cs="Calibri"/>
          <w:color w:val="auto"/>
          <w:lang w:val="el-GR"/>
        </w:rPr>
        <w:fldChar w:fldCharType="begin"/>
      </w:r>
      <w:r w:rsidRPr="008A3765">
        <w:rPr>
          <w:rFonts w:cs="Calibri"/>
          <w:color w:val="auto"/>
          <w:lang w:val="el-GR"/>
        </w:rPr>
        <w:instrText xml:space="preserve"> REF _Ref124499342 \h  \* MERGEFORMAT </w:instrText>
      </w:r>
      <w:r>
        <w:rPr>
          <w:rFonts w:cs="Calibri"/>
          <w:color w:val="auto"/>
          <w:lang w:val="el-GR"/>
        </w:rPr>
      </w:r>
      <w:r>
        <w:rPr>
          <w:rFonts w:cs="Calibri"/>
          <w:color w:val="auto"/>
          <w:lang w:val="el-GR"/>
        </w:rPr>
        <w:fldChar w:fldCharType="separate"/>
      </w:r>
      <w:r w:rsidRPr="000D2869">
        <w:rPr>
          <w:rFonts w:cs="Calibri"/>
          <w:color w:val="auto"/>
          <w:lang w:val="el-GR"/>
        </w:rPr>
        <w:t xml:space="preserve">8.2.16 </w:t>
      </w:r>
      <w:r w:rsidRPr="00AC06F2">
        <w:rPr>
          <w:rFonts w:cs="Calibri"/>
          <w:lang w:val="el-GR"/>
        </w:rPr>
        <w:t xml:space="preserve">Περίοδος Εγγύησης «Καλής Λειτουργίας» </w:t>
      </w:r>
      <w:r>
        <w:rPr>
          <w:rFonts w:cs="Calibri"/>
          <w:lang w:val="el-GR"/>
        </w:rPr>
        <w:t>και συντήρησης</w:t>
      </w:r>
      <w:r>
        <w:rPr>
          <w:rFonts w:cs="Calibri"/>
          <w:color w:val="auto"/>
          <w:lang w:val="el-GR"/>
        </w:rPr>
        <w:fldChar w:fldCharType="end"/>
      </w:r>
      <w:r w:rsidRPr="00414873">
        <w:rPr>
          <w:rFonts w:cs="Calibri"/>
          <w:color w:val="auto"/>
          <w:lang w:val="el-GR"/>
        </w:rPr>
        <w:t>)</w:t>
      </w:r>
      <w:bookmarkEnd w:id="21"/>
      <w:bookmarkEnd w:id="22"/>
      <w:r w:rsidRPr="00414873">
        <w:rPr>
          <w:rFonts w:cs="Calibri"/>
          <w:color w:val="auto"/>
          <w:lang w:val="el-GR"/>
        </w:rPr>
        <w:t xml:space="preserve"> </w:t>
      </w:r>
      <w:bookmarkEnd w:id="23"/>
    </w:p>
    <w:p w14:paraId="39F597B0" w14:textId="77777777" w:rsidR="00674E35" w:rsidRPr="00414873" w:rsidRDefault="00674E35" w:rsidP="00674E35">
      <w:pPr>
        <w:spacing w:line="276" w:lineRule="auto"/>
        <w:rPr>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266"/>
        <w:gridCol w:w="1113"/>
        <w:gridCol w:w="1709"/>
        <w:gridCol w:w="1312"/>
        <w:gridCol w:w="630"/>
        <w:gridCol w:w="1309"/>
      </w:tblGrid>
      <w:tr w:rsidR="00674E35" w14:paraId="21057DFE" w14:textId="77777777" w:rsidTr="004913E4">
        <w:trPr>
          <w:cantSplit/>
          <w:trHeight w:val="402"/>
          <w:tblHeader/>
          <w:jc w:val="center"/>
        </w:trPr>
        <w:tc>
          <w:tcPr>
            <w:tcW w:w="576" w:type="pct"/>
            <w:vMerge w:val="restart"/>
            <w:shd w:val="clear" w:color="auto" w:fill="E6E6E6"/>
            <w:vAlign w:val="center"/>
          </w:tcPr>
          <w:p w14:paraId="1DC8FAC7" w14:textId="77777777" w:rsidR="00674E35" w:rsidRPr="002E6CDF" w:rsidRDefault="00674E35" w:rsidP="004913E4">
            <w:pPr>
              <w:spacing w:line="276" w:lineRule="auto"/>
              <w:jc w:val="center"/>
              <w:rPr>
                <w:b/>
                <w:sz w:val="18"/>
                <w:szCs w:val="18"/>
              </w:rPr>
            </w:pPr>
            <w:r w:rsidRPr="002E6CDF">
              <w:rPr>
                <w:b/>
                <w:sz w:val="18"/>
                <w:szCs w:val="18"/>
              </w:rPr>
              <w:t>ΕΤΟΣ*</w:t>
            </w:r>
          </w:p>
        </w:tc>
        <w:tc>
          <w:tcPr>
            <w:tcW w:w="763" w:type="pct"/>
            <w:vMerge w:val="restart"/>
            <w:shd w:val="clear" w:color="auto" w:fill="E6E6E6"/>
          </w:tcPr>
          <w:p w14:paraId="424974D7" w14:textId="77777777" w:rsidR="00674E35" w:rsidRPr="002E6CDF" w:rsidRDefault="00674E35" w:rsidP="004913E4">
            <w:pPr>
              <w:spacing w:line="276" w:lineRule="auto"/>
              <w:jc w:val="center"/>
              <w:rPr>
                <w:b/>
                <w:sz w:val="18"/>
                <w:szCs w:val="18"/>
                <w:lang w:val="el-GR"/>
              </w:rPr>
            </w:pPr>
            <w:r w:rsidRPr="002E6CDF">
              <w:rPr>
                <w:b/>
                <w:sz w:val="18"/>
                <w:szCs w:val="18"/>
                <w:lang w:val="el-GR"/>
              </w:rPr>
              <w:t>ΕΤΗΣΙΑ ΑΝΑΝΕΩΣΗ ΑΔΕΙΩΝ ΧΡΗΣΗΣ ΕΤΟΙΜΟΥ ΛΟΓΙΣΜΙΚΟΥ</w:t>
            </w:r>
          </w:p>
          <w:p w14:paraId="17144010" w14:textId="77777777" w:rsidR="00674E35" w:rsidRPr="002E6CDF" w:rsidRDefault="00674E35" w:rsidP="004913E4">
            <w:pPr>
              <w:spacing w:line="276" w:lineRule="auto"/>
              <w:jc w:val="center"/>
              <w:rPr>
                <w:b/>
                <w:sz w:val="18"/>
                <w:szCs w:val="18"/>
              </w:rPr>
            </w:pPr>
            <w:r w:rsidRPr="002E6CDF">
              <w:rPr>
                <w:b/>
                <w:sz w:val="18"/>
                <w:szCs w:val="18"/>
              </w:rPr>
              <w:t>(ΧΩΡΙΣ ΦΠΑ) [</w:t>
            </w:r>
            <w:proofErr w:type="gramStart"/>
            <w:r w:rsidRPr="002E6CDF">
              <w:rPr>
                <w:b/>
                <w:sz w:val="18"/>
                <w:szCs w:val="18"/>
              </w:rPr>
              <w:t>€]*</w:t>
            </w:r>
            <w:proofErr w:type="gramEnd"/>
            <w:r w:rsidRPr="002E6CDF">
              <w:rPr>
                <w:b/>
                <w:sz w:val="18"/>
                <w:szCs w:val="18"/>
              </w:rPr>
              <w:t>*</w:t>
            </w:r>
          </w:p>
        </w:tc>
        <w:tc>
          <w:tcPr>
            <w:tcW w:w="1701" w:type="pct"/>
            <w:gridSpan w:val="2"/>
            <w:shd w:val="clear" w:color="auto" w:fill="E6E6E6"/>
          </w:tcPr>
          <w:p w14:paraId="7EEA6520" w14:textId="77777777" w:rsidR="00674E35" w:rsidRPr="002E6CDF" w:rsidRDefault="00674E35" w:rsidP="004913E4">
            <w:pPr>
              <w:spacing w:line="276" w:lineRule="auto"/>
              <w:jc w:val="center"/>
              <w:rPr>
                <w:b/>
                <w:sz w:val="18"/>
                <w:szCs w:val="18"/>
                <w:lang w:val="el-GR"/>
              </w:rPr>
            </w:pPr>
            <w:r w:rsidRPr="002E6CDF">
              <w:rPr>
                <w:b/>
                <w:sz w:val="18"/>
                <w:szCs w:val="18"/>
                <w:lang w:val="el-GR"/>
              </w:rPr>
              <w:t>ΕΤΗΣΙΑ ΑΞΙΑ ΣΥΝΤΗΡΗΣΗΣ</w:t>
            </w:r>
          </w:p>
        </w:tc>
        <w:tc>
          <w:tcPr>
            <w:tcW w:w="791" w:type="pct"/>
            <w:vMerge w:val="restart"/>
            <w:shd w:val="clear" w:color="auto" w:fill="E6E6E6"/>
            <w:vAlign w:val="center"/>
          </w:tcPr>
          <w:p w14:paraId="01366920" w14:textId="77777777" w:rsidR="00674E35" w:rsidRPr="002E6CDF" w:rsidRDefault="00674E35" w:rsidP="004913E4">
            <w:pPr>
              <w:spacing w:line="276" w:lineRule="auto"/>
              <w:jc w:val="center"/>
              <w:rPr>
                <w:b/>
                <w:sz w:val="18"/>
                <w:szCs w:val="18"/>
                <w:lang w:val="el-GR"/>
              </w:rPr>
            </w:pPr>
            <w:r w:rsidRPr="002E6CDF">
              <w:rPr>
                <w:b/>
                <w:sz w:val="18"/>
                <w:szCs w:val="18"/>
                <w:lang w:val="el-GR"/>
              </w:rPr>
              <w:t>ΣΥΝΟΛΙΚΗ ΕΤΗΣΙΑ ΑΞΙΑ ΣΥΝΤΗΡΗΣΗΣ ΚΑΙ ΑΝΑΝΕΩΣΗΣ ΑΔΕΙΩΝ (ΧΩΡΙΣ ΦΠΑ) [€]*****</w:t>
            </w:r>
          </w:p>
        </w:tc>
        <w:tc>
          <w:tcPr>
            <w:tcW w:w="380" w:type="pct"/>
            <w:vMerge w:val="restart"/>
            <w:shd w:val="clear" w:color="auto" w:fill="E6E6E6"/>
            <w:vAlign w:val="center"/>
          </w:tcPr>
          <w:p w14:paraId="1F6BA4B4" w14:textId="77777777" w:rsidR="00674E35" w:rsidRPr="002E6CDF" w:rsidRDefault="00674E35" w:rsidP="004913E4">
            <w:pPr>
              <w:spacing w:line="276" w:lineRule="auto"/>
              <w:jc w:val="center"/>
              <w:rPr>
                <w:b/>
                <w:sz w:val="18"/>
                <w:szCs w:val="18"/>
              </w:rPr>
            </w:pPr>
            <w:r w:rsidRPr="002E6CDF">
              <w:rPr>
                <w:b/>
                <w:sz w:val="18"/>
                <w:szCs w:val="18"/>
              </w:rPr>
              <w:t>ΦΠΑ [€]</w:t>
            </w:r>
          </w:p>
        </w:tc>
        <w:tc>
          <w:tcPr>
            <w:tcW w:w="790" w:type="pct"/>
            <w:vMerge w:val="restart"/>
            <w:shd w:val="clear" w:color="auto" w:fill="E6E6E6"/>
            <w:vAlign w:val="center"/>
          </w:tcPr>
          <w:p w14:paraId="7F9A4A15" w14:textId="77777777" w:rsidR="00674E35" w:rsidRPr="002E6CDF" w:rsidRDefault="00674E35" w:rsidP="004913E4">
            <w:pPr>
              <w:spacing w:line="276" w:lineRule="auto"/>
              <w:jc w:val="center"/>
              <w:rPr>
                <w:b/>
                <w:sz w:val="18"/>
                <w:szCs w:val="18"/>
                <w:lang w:val="el-GR"/>
              </w:rPr>
            </w:pPr>
            <w:r w:rsidRPr="002E6CDF">
              <w:rPr>
                <w:b/>
                <w:sz w:val="18"/>
                <w:szCs w:val="18"/>
                <w:lang w:val="el-GR"/>
              </w:rPr>
              <w:t>ΣΥΝΟΛΙΚΗ ΕΤΗΣΙΑ ΑΞΙΑ ΣΥΝΤΗΡΗΣΗΣ ΚΑΙ ΑΝΑΝΕΩΣΗΣ ΑΔΕΙΩΝ</w:t>
            </w:r>
          </w:p>
          <w:p w14:paraId="5D18F1EA" w14:textId="77777777" w:rsidR="00674E35" w:rsidRPr="002E6CDF" w:rsidRDefault="00674E35" w:rsidP="004913E4">
            <w:pPr>
              <w:spacing w:line="276" w:lineRule="auto"/>
              <w:jc w:val="center"/>
              <w:rPr>
                <w:b/>
                <w:sz w:val="18"/>
                <w:szCs w:val="18"/>
                <w:lang w:val="el-GR"/>
              </w:rPr>
            </w:pPr>
            <w:r w:rsidRPr="002E6CDF">
              <w:rPr>
                <w:b/>
                <w:sz w:val="18"/>
                <w:szCs w:val="18"/>
                <w:lang w:val="el-GR"/>
              </w:rPr>
              <w:t>(ΜΕ ΦΠΑ) [€]</w:t>
            </w:r>
          </w:p>
        </w:tc>
      </w:tr>
      <w:tr w:rsidR="00674E35" w:rsidRPr="004913E4" w14:paraId="4B7EA3FF" w14:textId="77777777" w:rsidTr="004913E4">
        <w:trPr>
          <w:cantSplit/>
          <w:trHeight w:val="1132"/>
          <w:tblHeader/>
          <w:jc w:val="center"/>
        </w:trPr>
        <w:tc>
          <w:tcPr>
            <w:tcW w:w="576" w:type="pct"/>
            <w:vMerge/>
            <w:shd w:val="clear" w:color="auto" w:fill="E6E6E6"/>
            <w:vAlign w:val="center"/>
          </w:tcPr>
          <w:p w14:paraId="6ABF46E6" w14:textId="77777777" w:rsidR="00674E35" w:rsidRPr="00840707" w:rsidRDefault="00674E35" w:rsidP="004913E4">
            <w:pPr>
              <w:spacing w:line="276" w:lineRule="auto"/>
              <w:jc w:val="center"/>
              <w:rPr>
                <w:sz w:val="18"/>
                <w:szCs w:val="18"/>
              </w:rPr>
            </w:pPr>
          </w:p>
        </w:tc>
        <w:tc>
          <w:tcPr>
            <w:tcW w:w="763" w:type="pct"/>
            <w:vMerge/>
            <w:shd w:val="clear" w:color="auto" w:fill="E6E6E6"/>
          </w:tcPr>
          <w:p w14:paraId="470FC649" w14:textId="77777777" w:rsidR="00674E35" w:rsidRPr="00414873" w:rsidRDefault="00674E35" w:rsidP="004913E4">
            <w:pPr>
              <w:spacing w:line="276" w:lineRule="auto"/>
              <w:jc w:val="center"/>
              <w:rPr>
                <w:sz w:val="18"/>
                <w:szCs w:val="18"/>
                <w:lang w:val="el-GR"/>
              </w:rPr>
            </w:pPr>
          </w:p>
        </w:tc>
        <w:tc>
          <w:tcPr>
            <w:tcW w:w="671" w:type="pct"/>
            <w:shd w:val="clear" w:color="auto" w:fill="E6E6E6"/>
          </w:tcPr>
          <w:p w14:paraId="4336CB77" w14:textId="77777777" w:rsidR="00674E35" w:rsidRPr="002E6CDF" w:rsidRDefault="00674E35" w:rsidP="004913E4">
            <w:pPr>
              <w:spacing w:line="276" w:lineRule="auto"/>
              <w:jc w:val="center"/>
              <w:rPr>
                <w:b/>
                <w:sz w:val="18"/>
                <w:szCs w:val="18"/>
                <w:lang w:val="el-GR"/>
              </w:rPr>
            </w:pPr>
            <w:r w:rsidRPr="002E6CDF">
              <w:rPr>
                <w:b/>
                <w:sz w:val="18"/>
                <w:szCs w:val="18"/>
                <w:lang w:val="el-GR"/>
              </w:rPr>
              <w:t xml:space="preserve">ΥΠΗΡΕΣΙΕΣ </w:t>
            </w:r>
            <w:r w:rsidRPr="002E6CDF">
              <w:rPr>
                <w:b/>
                <w:sz w:val="18"/>
                <w:szCs w:val="18"/>
                <w:lang w:val="en-US"/>
              </w:rPr>
              <w:t>SOC</w:t>
            </w:r>
            <w:r w:rsidRPr="002E6CDF">
              <w:rPr>
                <w:b/>
                <w:sz w:val="18"/>
                <w:szCs w:val="18"/>
                <w:lang w:val="el-GR"/>
              </w:rPr>
              <w:t>***</w:t>
            </w:r>
          </w:p>
          <w:p w14:paraId="2828721E" w14:textId="77777777" w:rsidR="00674E35" w:rsidRPr="002E6CDF" w:rsidRDefault="00674E35" w:rsidP="004913E4">
            <w:pPr>
              <w:spacing w:line="276" w:lineRule="auto"/>
              <w:jc w:val="center"/>
              <w:rPr>
                <w:b/>
                <w:sz w:val="18"/>
                <w:szCs w:val="18"/>
                <w:lang w:val="el-GR"/>
              </w:rPr>
            </w:pPr>
            <w:r w:rsidRPr="002E6CDF">
              <w:rPr>
                <w:b/>
                <w:sz w:val="18"/>
                <w:szCs w:val="18"/>
                <w:lang w:val="el-GR"/>
              </w:rPr>
              <w:t xml:space="preserve">(ΧΩΡΙΣ ΦΠΑ) </w:t>
            </w:r>
          </w:p>
          <w:p w14:paraId="32AEB33A" w14:textId="77777777" w:rsidR="00674E35" w:rsidRPr="002E6CDF" w:rsidRDefault="00674E35" w:rsidP="004913E4">
            <w:pPr>
              <w:spacing w:line="276" w:lineRule="auto"/>
              <w:jc w:val="center"/>
              <w:rPr>
                <w:b/>
                <w:sz w:val="18"/>
                <w:szCs w:val="18"/>
                <w:lang w:val="el-GR"/>
              </w:rPr>
            </w:pPr>
            <w:r w:rsidRPr="002E6CDF">
              <w:rPr>
                <w:b/>
                <w:sz w:val="18"/>
                <w:szCs w:val="18"/>
                <w:lang w:val="en-US"/>
              </w:rPr>
              <w:t>[</w:t>
            </w:r>
            <w:r w:rsidRPr="002E6CDF">
              <w:rPr>
                <w:b/>
                <w:sz w:val="18"/>
                <w:szCs w:val="18"/>
                <w:lang w:val="el-GR"/>
              </w:rPr>
              <w:t>€]</w:t>
            </w:r>
          </w:p>
        </w:tc>
        <w:tc>
          <w:tcPr>
            <w:tcW w:w="1029" w:type="pct"/>
            <w:shd w:val="clear" w:color="auto" w:fill="E6E6E6"/>
          </w:tcPr>
          <w:p w14:paraId="731E991A" w14:textId="77777777" w:rsidR="00674E35" w:rsidRPr="002E6CDF" w:rsidRDefault="00674E35" w:rsidP="004913E4">
            <w:pPr>
              <w:spacing w:line="276" w:lineRule="auto"/>
              <w:jc w:val="center"/>
              <w:rPr>
                <w:b/>
                <w:sz w:val="18"/>
                <w:szCs w:val="18"/>
                <w:lang w:val="el-GR"/>
              </w:rPr>
            </w:pPr>
            <w:r w:rsidRPr="002E6CDF">
              <w:rPr>
                <w:b/>
                <w:sz w:val="18"/>
                <w:szCs w:val="18"/>
                <w:lang w:val="el-GR"/>
              </w:rPr>
              <w:t>ΛΟΙΠΕΣ ΥΠΗΡΕΣΙΕΣ ΑΝΑ ΕΤΟΣ ΣΥΝΤΗΡΗΣΗΣ****</w:t>
            </w:r>
          </w:p>
        </w:tc>
        <w:tc>
          <w:tcPr>
            <w:tcW w:w="791" w:type="pct"/>
            <w:vMerge/>
            <w:shd w:val="clear" w:color="auto" w:fill="E6E6E6"/>
            <w:vAlign w:val="center"/>
          </w:tcPr>
          <w:p w14:paraId="77E45CE6" w14:textId="77777777" w:rsidR="00674E35" w:rsidRPr="00414873" w:rsidRDefault="00674E35" w:rsidP="004913E4">
            <w:pPr>
              <w:spacing w:line="276" w:lineRule="auto"/>
              <w:jc w:val="center"/>
              <w:rPr>
                <w:sz w:val="18"/>
                <w:szCs w:val="18"/>
                <w:lang w:val="el-GR"/>
              </w:rPr>
            </w:pPr>
          </w:p>
        </w:tc>
        <w:tc>
          <w:tcPr>
            <w:tcW w:w="380" w:type="pct"/>
            <w:vMerge/>
            <w:shd w:val="clear" w:color="auto" w:fill="E6E6E6"/>
            <w:vAlign w:val="center"/>
          </w:tcPr>
          <w:p w14:paraId="0ECCD779" w14:textId="77777777" w:rsidR="00674E35" w:rsidRPr="00C814E6" w:rsidRDefault="00674E35" w:rsidP="004913E4">
            <w:pPr>
              <w:spacing w:line="276" w:lineRule="auto"/>
              <w:jc w:val="center"/>
              <w:rPr>
                <w:sz w:val="18"/>
                <w:szCs w:val="18"/>
                <w:lang w:val="el-GR"/>
              </w:rPr>
            </w:pPr>
          </w:p>
        </w:tc>
        <w:tc>
          <w:tcPr>
            <w:tcW w:w="790" w:type="pct"/>
            <w:vMerge/>
            <w:shd w:val="clear" w:color="auto" w:fill="E6E6E6"/>
            <w:vAlign w:val="center"/>
          </w:tcPr>
          <w:p w14:paraId="6372F06E" w14:textId="77777777" w:rsidR="00674E35" w:rsidRPr="00414873" w:rsidRDefault="00674E35" w:rsidP="004913E4">
            <w:pPr>
              <w:spacing w:line="276" w:lineRule="auto"/>
              <w:jc w:val="center"/>
              <w:rPr>
                <w:sz w:val="18"/>
                <w:szCs w:val="18"/>
                <w:lang w:val="el-GR"/>
              </w:rPr>
            </w:pPr>
          </w:p>
        </w:tc>
      </w:tr>
      <w:tr w:rsidR="00674E35" w14:paraId="3E324E07" w14:textId="77777777" w:rsidTr="004913E4">
        <w:trPr>
          <w:trHeight w:val="284"/>
          <w:jc w:val="center"/>
        </w:trPr>
        <w:tc>
          <w:tcPr>
            <w:tcW w:w="576" w:type="pct"/>
            <w:vAlign w:val="center"/>
          </w:tcPr>
          <w:p w14:paraId="54664706" w14:textId="77777777" w:rsidR="00674E35" w:rsidRPr="002E6CDF" w:rsidRDefault="00674E35" w:rsidP="004913E4">
            <w:pPr>
              <w:spacing w:before="60" w:after="60" w:line="276" w:lineRule="auto"/>
              <w:rPr>
                <w:b/>
                <w:sz w:val="18"/>
                <w:szCs w:val="18"/>
              </w:rPr>
            </w:pPr>
            <w:r w:rsidRPr="002E6CDF">
              <w:rPr>
                <w:b/>
                <w:sz w:val="18"/>
                <w:szCs w:val="18"/>
              </w:rPr>
              <w:t>1</w:t>
            </w:r>
            <w:r w:rsidRPr="002E6CDF">
              <w:rPr>
                <w:b/>
                <w:sz w:val="18"/>
                <w:szCs w:val="18"/>
                <w:vertAlign w:val="superscript"/>
              </w:rPr>
              <w:t>ο</w:t>
            </w:r>
          </w:p>
        </w:tc>
        <w:tc>
          <w:tcPr>
            <w:tcW w:w="763" w:type="pct"/>
          </w:tcPr>
          <w:p w14:paraId="72BFA5C4" w14:textId="77777777" w:rsidR="00674E35" w:rsidRPr="00840707" w:rsidRDefault="00674E35" w:rsidP="004913E4">
            <w:pPr>
              <w:spacing w:before="60" w:after="60" w:line="276" w:lineRule="auto"/>
              <w:rPr>
                <w:sz w:val="18"/>
                <w:szCs w:val="18"/>
              </w:rPr>
            </w:pPr>
          </w:p>
        </w:tc>
        <w:tc>
          <w:tcPr>
            <w:tcW w:w="671" w:type="pct"/>
          </w:tcPr>
          <w:p w14:paraId="3D474252" w14:textId="77777777" w:rsidR="00674E35" w:rsidRPr="00E306CE" w:rsidRDefault="00674E35" w:rsidP="004913E4">
            <w:pPr>
              <w:spacing w:before="60" w:after="60" w:line="276" w:lineRule="auto"/>
              <w:rPr>
                <w:sz w:val="18"/>
                <w:szCs w:val="18"/>
                <w:highlight w:val="yellow"/>
              </w:rPr>
            </w:pPr>
          </w:p>
        </w:tc>
        <w:tc>
          <w:tcPr>
            <w:tcW w:w="1029" w:type="pct"/>
          </w:tcPr>
          <w:p w14:paraId="71C80FD7" w14:textId="77777777" w:rsidR="00674E35" w:rsidRPr="00E306CE" w:rsidRDefault="00674E35" w:rsidP="004913E4">
            <w:pPr>
              <w:spacing w:before="60" w:after="60" w:line="276" w:lineRule="auto"/>
              <w:rPr>
                <w:sz w:val="18"/>
                <w:szCs w:val="18"/>
                <w:highlight w:val="yellow"/>
              </w:rPr>
            </w:pPr>
          </w:p>
        </w:tc>
        <w:tc>
          <w:tcPr>
            <w:tcW w:w="791" w:type="pct"/>
          </w:tcPr>
          <w:p w14:paraId="231492F5" w14:textId="77777777" w:rsidR="00674E35" w:rsidRPr="00E306CE" w:rsidRDefault="00674E35" w:rsidP="004913E4">
            <w:pPr>
              <w:spacing w:before="60" w:after="60" w:line="276" w:lineRule="auto"/>
              <w:rPr>
                <w:sz w:val="18"/>
                <w:szCs w:val="18"/>
                <w:highlight w:val="yellow"/>
              </w:rPr>
            </w:pPr>
          </w:p>
        </w:tc>
        <w:tc>
          <w:tcPr>
            <w:tcW w:w="380" w:type="pct"/>
            <w:vAlign w:val="center"/>
          </w:tcPr>
          <w:p w14:paraId="6756918D" w14:textId="77777777" w:rsidR="00674E35" w:rsidRPr="00840707" w:rsidRDefault="00674E35" w:rsidP="004913E4">
            <w:pPr>
              <w:spacing w:before="60" w:after="60" w:line="276" w:lineRule="auto"/>
              <w:rPr>
                <w:sz w:val="18"/>
                <w:szCs w:val="18"/>
              </w:rPr>
            </w:pPr>
          </w:p>
        </w:tc>
        <w:tc>
          <w:tcPr>
            <w:tcW w:w="790" w:type="pct"/>
            <w:vAlign w:val="center"/>
          </w:tcPr>
          <w:p w14:paraId="7F1AB22C" w14:textId="77777777" w:rsidR="00674E35" w:rsidRPr="00840707" w:rsidRDefault="00674E35" w:rsidP="004913E4">
            <w:pPr>
              <w:spacing w:before="60" w:after="60" w:line="276" w:lineRule="auto"/>
              <w:rPr>
                <w:sz w:val="18"/>
                <w:szCs w:val="18"/>
              </w:rPr>
            </w:pPr>
          </w:p>
        </w:tc>
      </w:tr>
      <w:tr w:rsidR="00674E35" w14:paraId="1A9465AB" w14:textId="77777777" w:rsidTr="004913E4">
        <w:trPr>
          <w:trHeight w:val="284"/>
          <w:jc w:val="center"/>
        </w:trPr>
        <w:tc>
          <w:tcPr>
            <w:tcW w:w="576" w:type="pct"/>
            <w:vAlign w:val="center"/>
          </w:tcPr>
          <w:p w14:paraId="2AE828C1" w14:textId="77777777" w:rsidR="00674E35" w:rsidRPr="002E6CDF" w:rsidRDefault="00674E35" w:rsidP="004913E4">
            <w:pPr>
              <w:spacing w:before="60" w:after="60" w:line="276" w:lineRule="auto"/>
              <w:rPr>
                <w:b/>
                <w:sz w:val="18"/>
                <w:szCs w:val="18"/>
                <w:lang w:val="el-GR"/>
              </w:rPr>
            </w:pPr>
            <w:r w:rsidRPr="002E6CDF">
              <w:rPr>
                <w:b/>
                <w:sz w:val="18"/>
                <w:szCs w:val="18"/>
              </w:rPr>
              <w:t>2</w:t>
            </w:r>
            <w:r w:rsidRPr="002E6CDF">
              <w:rPr>
                <w:b/>
                <w:sz w:val="18"/>
                <w:szCs w:val="18"/>
                <w:vertAlign w:val="superscript"/>
              </w:rPr>
              <w:t>ο</w:t>
            </w:r>
          </w:p>
        </w:tc>
        <w:tc>
          <w:tcPr>
            <w:tcW w:w="763" w:type="pct"/>
          </w:tcPr>
          <w:p w14:paraId="27702F29" w14:textId="77777777" w:rsidR="00674E35" w:rsidRPr="00840707" w:rsidRDefault="00674E35" w:rsidP="004913E4">
            <w:pPr>
              <w:spacing w:before="60" w:after="60" w:line="276" w:lineRule="auto"/>
              <w:rPr>
                <w:sz w:val="18"/>
                <w:szCs w:val="18"/>
              </w:rPr>
            </w:pPr>
          </w:p>
        </w:tc>
        <w:tc>
          <w:tcPr>
            <w:tcW w:w="671" w:type="pct"/>
          </w:tcPr>
          <w:p w14:paraId="15CDF078" w14:textId="77777777" w:rsidR="00674E35" w:rsidRPr="00E306CE" w:rsidRDefault="00674E35" w:rsidP="004913E4">
            <w:pPr>
              <w:spacing w:before="60" w:after="60" w:line="276" w:lineRule="auto"/>
              <w:rPr>
                <w:sz w:val="18"/>
                <w:szCs w:val="18"/>
                <w:highlight w:val="yellow"/>
              </w:rPr>
            </w:pPr>
          </w:p>
        </w:tc>
        <w:tc>
          <w:tcPr>
            <w:tcW w:w="1029" w:type="pct"/>
          </w:tcPr>
          <w:p w14:paraId="188EE464" w14:textId="77777777" w:rsidR="00674E35" w:rsidRPr="00E306CE" w:rsidRDefault="00674E35" w:rsidP="004913E4">
            <w:pPr>
              <w:spacing w:before="60" w:after="60" w:line="276" w:lineRule="auto"/>
              <w:rPr>
                <w:sz w:val="18"/>
                <w:szCs w:val="18"/>
                <w:highlight w:val="yellow"/>
              </w:rPr>
            </w:pPr>
          </w:p>
        </w:tc>
        <w:tc>
          <w:tcPr>
            <w:tcW w:w="791" w:type="pct"/>
          </w:tcPr>
          <w:p w14:paraId="3CDC9E07" w14:textId="77777777" w:rsidR="00674E35" w:rsidRPr="00E306CE" w:rsidRDefault="00674E35" w:rsidP="004913E4">
            <w:pPr>
              <w:spacing w:before="60" w:after="60" w:line="276" w:lineRule="auto"/>
              <w:rPr>
                <w:sz w:val="18"/>
                <w:szCs w:val="18"/>
                <w:highlight w:val="yellow"/>
              </w:rPr>
            </w:pPr>
          </w:p>
        </w:tc>
        <w:tc>
          <w:tcPr>
            <w:tcW w:w="380" w:type="pct"/>
            <w:vAlign w:val="center"/>
          </w:tcPr>
          <w:p w14:paraId="76A75A3E" w14:textId="77777777" w:rsidR="00674E35" w:rsidRPr="00840707" w:rsidRDefault="00674E35" w:rsidP="004913E4">
            <w:pPr>
              <w:spacing w:before="60" w:after="60" w:line="276" w:lineRule="auto"/>
              <w:rPr>
                <w:sz w:val="18"/>
                <w:szCs w:val="18"/>
              </w:rPr>
            </w:pPr>
          </w:p>
        </w:tc>
        <w:tc>
          <w:tcPr>
            <w:tcW w:w="790" w:type="pct"/>
            <w:vAlign w:val="center"/>
          </w:tcPr>
          <w:p w14:paraId="0D3DE55A" w14:textId="77777777" w:rsidR="00674E35" w:rsidRPr="00840707" w:rsidRDefault="00674E35" w:rsidP="004913E4">
            <w:pPr>
              <w:spacing w:before="60" w:after="60" w:line="276" w:lineRule="auto"/>
              <w:rPr>
                <w:sz w:val="18"/>
                <w:szCs w:val="18"/>
              </w:rPr>
            </w:pPr>
          </w:p>
        </w:tc>
      </w:tr>
      <w:tr w:rsidR="00674E35" w14:paraId="05F7B0C0" w14:textId="77777777" w:rsidTr="004913E4">
        <w:trPr>
          <w:trHeight w:val="284"/>
          <w:jc w:val="center"/>
        </w:trPr>
        <w:tc>
          <w:tcPr>
            <w:tcW w:w="576" w:type="pct"/>
            <w:shd w:val="clear" w:color="auto" w:fill="E0E0E0"/>
            <w:vAlign w:val="center"/>
          </w:tcPr>
          <w:p w14:paraId="4A0D1EE5" w14:textId="77777777" w:rsidR="00674E35" w:rsidRPr="00840707" w:rsidRDefault="00674E35" w:rsidP="004913E4">
            <w:pPr>
              <w:spacing w:before="100" w:beforeAutospacing="1" w:after="100" w:afterAutospacing="1" w:line="276" w:lineRule="auto"/>
              <w:ind w:left="-120" w:right="-123" w:firstLine="120"/>
              <w:rPr>
                <w:b/>
                <w:sz w:val="18"/>
                <w:szCs w:val="18"/>
              </w:rPr>
            </w:pPr>
            <w:r w:rsidRPr="00840707">
              <w:rPr>
                <w:b/>
                <w:sz w:val="18"/>
                <w:szCs w:val="18"/>
              </w:rPr>
              <w:t>ΣΥΝΟΛΟ</w:t>
            </w:r>
          </w:p>
        </w:tc>
        <w:tc>
          <w:tcPr>
            <w:tcW w:w="763" w:type="pct"/>
            <w:shd w:val="clear" w:color="auto" w:fill="FFFFFF"/>
          </w:tcPr>
          <w:p w14:paraId="746725DC" w14:textId="77777777" w:rsidR="00674E35" w:rsidRPr="00840707" w:rsidRDefault="00674E35" w:rsidP="004913E4">
            <w:pPr>
              <w:spacing w:before="100" w:beforeAutospacing="1" w:after="100" w:afterAutospacing="1" w:line="276" w:lineRule="auto"/>
              <w:rPr>
                <w:sz w:val="18"/>
                <w:szCs w:val="18"/>
              </w:rPr>
            </w:pPr>
          </w:p>
        </w:tc>
        <w:tc>
          <w:tcPr>
            <w:tcW w:w="671" w:type="pct"/>
            <w:shd w:val="clear" w:color="auto" w:fill="FFFFFF"/>
          </w:tcPr>
          <w:p w14:paraId="34244DA0" w14:textId="77777777" w:rsidR="00674E35" w:rsidRPr="00840707" w:rsidRDefault="00674E35" w:rsidP="004913E4">
            <w:pPr>
              <w:spacing w:before="100" w:beforeAutospacing="1" w:after="100" w:afterAutospacing="1" w:line="276" w:lineRule="auto"/>
              <w:rPr>
                <w:sz w:val="18"/>
                <w:szCs w:val="18"/>
              </w:rPr>
            </w:pPr>
          </w:p>
        </w:tc>
        <w:tc>
          <w:tcPr>
            <w:tcW w:w="1029" w:type="pct"/>
            <w:shd w:val="clear" w:color="auto" w:fill="FFFFFF"/>
          </w:tcPr>
          <w:p w14:paraId="6FC2D1C2" w14:textId="77777777" w:rsidR="00674E35" w:rsidRPr="00840707" w:rsidRDefault="00674E35" w:rsidP="004913E4">
            <w:pPr>
              <w:spacing w:before="100" w:beforeAutospacing="1" w:after="100" w:afterAutospacing="1" w:line="276" w:lineRule="auto"/>
              <w:rPr>
                <w:sz w:val="18"/>
                <w:szCs w:val="18"/>
              </w:rPr>
            </w:pPr>
          </w:p>
        </w:tc>
        <w:tc>
          <w:tcPr>
            <w:tcW w:w="791" w:type="pct"/>
            <w:shd w:val="clear" w:color="auto" w:fill="FFFFFF"/>
          </w:tcPr>
          <w:p w14:paraId="1FF5E921" w14:textId="77777777" w:rsidR="00674E35" w:rsidRPr="00840707" w:rsidRDefault="00674E35" w:rsidP="004913E4">
            <w:pPr>
              <w:spacing w:before="100" w:beforeAutospacing="1" w:after="100" w:afterAutospacing="1" w:line="276" w:lineRule="auto"/>
              <w:rPr>
                <w:sz w:val="18"/>
                <w:szCs w:val="18"/>
              </w:rPr>
            </w:pPr>
          </w:p>
        </w:tc>
        <w:tc>
          <w:tcPr>
            <w:tcW w:w="380" w:type="pct"/>
            <w:shd w:val="clear" w:color="auto" w:fill="FFFFFF"/>
            <w:vAlign w:val="center"/>
          </w:tcPr>
          <w:p w14:paraId="37FD4EF6" w14:textId="77777777" w:rsidR="00674E35" w:rsidRPr="00840707" w:rsidRDefault="00674E35" w:rsidP="004913E4">
            <w:pPr>
              <w:spacing w:before="100" w:beforeAutospacing="1" w:after="100" w:afterAutospacing="1" w:line="276" w:lineRule="auto"/>
              <w:rPr>
                <w:sz w:val="18"/>
                <w:szCs w:val="18"/>
              </w:rPr>
            </w:pPr>
          </w:p>
        </w:tc>
        <w:tc>
          <w:tcPr>
            <w:tcW w:w="790" w:type="pct"/>
            <w:shd w:val="clear" w:color="auto" w:fill="FFFFFF"/>
            <w:vAlign w:val="center"/>
          </w:tcPr>
          <w:p w14:paraId="0BCB0125" w14:textId="77777777" w:rsidR="00674E35" w:rsidRPr="00840707" w:rsidRDefault="00674E35" w:rsidP="004913E4">
            <w:pPr>
              <w:spacing w:before="100" w:beforeAutospacing="1" w:after="100" w:afterAutospacing="1" w:line="276" w:lineRule="auto"/>
              <w:rPr>
                <w:sz w:val="18"/>
                <w:szCs w:val="18"/>
              </w:rPr>
            </w:pPr>
          </w:p>
        </w:tc>
      </w:tr>
    </w:tbl>
    <w:p w14:paraId="0A447418" w14:textId="77777777" w:rsidR="00674E35" w:rsidRPr="00405648" w:rsidRDefault="00674E35" w:rsidP="00674E35">
      <w:pPr>
        <w:spacing w:before="100" w:beforeAutospacing="1" w:after="0" w:line="276" w:lineRule="auto"/>
        <w:rPr>
          <w:sz w:val="24"/>
          <w:lang w:val="el-GR"/>
        </w:rPr>
      </w:pPr>
      <w:r w:rsidRPr="00994A93">
        <w:rPr>
          <w:sz w:val="24"/>
          <w:lang w:val="el-GR"/>
        </w:rPr>
        <w:t xml:space="preserve">* </w:t>
      </w:r>
      <w:r w:rsidRPr="00405648">
        <w:rPr>
          <w:sz w:val="24"/>
          <w:lang w:val="el-GR"/>
        </w:rPr>
        <w:t>ΕΤΟΣ: μετά την Περίοδο Εγγύησης Καλής λειτουργίας</w:t>
      </w:r>
    </w:p>
    <w:p w14:paraId="7F2674FD" w14:textId="77777777" w:rsidR="00674E35" w:rsidRPr="00405648" w:rsidRDefault="00674E35" w:rsidP="00674E35">
      <w:pPr>
        <w:widowControl w:val="0"/>
        <w:suppressAutoHyphens w:val="0"/>
        <w:autoSpaceDE w:val="0"/>
        <w:autoSpaceDN w:val="0"/>
        <w:spacing w:after="0" w:line="276" w:lineRule="auto"/>
        <w:ind w:right="57"/>
        <w:rPr>
          <w:sz w:val="24"/>
          <w:lang w:val="el-GR"/>
        </w:rPr>
      </w:pPr>
      <w:r w:rsidRPr="00405648">
        <w:rPr>
          <w:sz w:val="24"/>
          <w:lang w:val="el-GR"/>
        </w:rPr>
        <w:t xml:space="preserve">** Η ετήσια ανανέωση αδειών χρήσης κατά την περίοδο συντήρησης αφορά υποχρεωτικά το πλήθος αδειών χρήσης, την εμπορική ονομασία και τον τύπο αδειών που αναφέρονται στον Πίνακα Α Οικονομικής Προσφοράς Προμήθειας Έτοιμου Λογισμικού του Παραρτήματος ΙΙΙ. Στην περίπτωση που ο υποψήφιος επιλέξει την </w:t>
      </w:r>
      <w:r w:rsidRPr="00405648">
        <w:rPr>
          <w:sz w:val="24"/>
          <w:u w:val="single"/>
          <w:lang w:val="el-GR"/>
        </w:rPr>
        <w:t xml:space="preserve">λύση των ετησίως </w:t>
      </w:r>
      <w:proofErr w:type="spellStart"/>
      <w:r w:rsidRPr="00405648">
        <w:rPr>
          <w:sz w:val="24"/>
          <w:u w:val="single"/>
          <w:lang w:val="el-GR"/>
        </w:rPr>
        <w:t>ανανεόμενων</w:t>
      </w:r>
      <w:proofErr w:type="spellEnd"/>
      <w:r w:rsidRPr="00405648">
        <w:rPr>
          <w:sz w:val="24"/>
          <w:u w:val="single"/>
          <w:lang w:val="el-GR"/>
        </w:rPr>
        <w:t xml:space="preserve"> αδειών</w:t>
      </w:r>
      <w:r w:rsidRPr="00405648">
        <w:rPr>
          <w:sz w:val="24"/>
          <w:lang w:val="el-GR"/>
        </w:rPr>
        <w:t xml:space="preserve">, το ετήσιο κόστος της ανανέωσης των αδειών </w:t>
      </w:r>
      <w:r>
        <w:rPr>
          <w:sz w:val="24"/>
          <w:lang w:val="el-GR"/>
        </w:rPr>
        <w:t xml:space="preserve">(στήλη ΕΤΗΣΙΑ ΑΝΑΝΕΩΣΗ ΑΔΕΙΩΝ ΧΡΗΣΗΣ ΕΤΟΙΜΟΥ ΛΟΓΙΣΜΙΚΟΥ) </w:t>
      </w:r>
      <w:r w:rsidRPr="00405648">
        <w:rPr>
          <w:sz w:val="24"/>
          <w:lang w:val="el-GR"/>
        </w:rPr>
        <w:t xml:space="preserve">δεν θα υπερβαίνει </w:t>
      </w:r>
      <w:r>
        <w:rPr>
          <w:sz w:val="24"/>
          <w:lang w:val="el-GR"/>
        </w:rPr>
        <w:t>ποσοστό 11,6%</w:t>
      </w:r>
      <w:r w:rsidRPr="00405648">
        <w:rPr>
          <w:sz w:val="24"/>
          <w:lang w:val="el-GR"/>
        </w:rPr>
        <w:t xml:space="preserve"> του αθροίσματος του κόστους που δηλώνεται στους Πίνακες Α και Β της Οικονομικής Προσφοράς (συνολικά </w:t>
      </w:r>
      <w:r>
        <w:rPr>
          <w:sz w:val="24"/>
          <w:lang w:val="el-GR"/>
        </w:rPr>
        <w:t>ποσοστό 23,2%</w:t>
      </w:r>
      <w:r w:rsidRPr="00405648">
        <w:rPr>
          <w:sz w:val="24"/>
          <w:lang w:val="el-GR"/>
        </w:rPr>
        <w:t xml:space="preserve"> για τα δύο (2) έτη.</w:t>
      </w:r>
    </w:p>
    <w:p w14:paraId="0162F790" w14:textId="77777777" w:rsidR="00674E35" w:rsidRPr="00405648" w:rsidRDefault="00674E35" w:rsidP="00674E35">
      <w:pPr>
        <w:widowControl w:val="0"/>
        <w:suppressAutoHyphens w:val="0"/>
        <w:autoSpaceDE w:val="0"/>
        <w:autoSpaceDN w:val="0"/>
        <w:spacing w:after="0" w:line="276" w:lineRule="auto"/>
        <w:ind w:right="57"/>
        <w:rPr>
          <w:sz w:val="24"/>
          <w:lang w:val="el-GR"/>
        </w:rPr>
      </w:pPr>
      <w:r w:rsidRPr="00405648">
        <w:rPr>
          <w:sz w:val="24"/>
          <w:lang w:val="el-GR"/>
        </w:rPr>
        <w:t xml:space="preserve">*** Όπως περιγράφονται στο κεφάλαιο </w:t>
      </w:r>
      <w:r>
        <w:fldChar w:fldCharType="begin"/>
      </w:r>
      <w:r w:rsidRPr="00D92843">
        <w:rPr>
          <w:lang w:val="el-GR"/>
        </w:rPr>
        <w:instrText xml:space="preserve"> </w:instrText>
      </w:r>
      <w:r>
        <w:instrText>REF</w:instrText>
      </w:r>
      <w:r w:rsidRPr="00D92843">
        <w:rPr>
          <w:lang w:val="el-GR"/>
        </w:rPr>
        <w:instrText xml:space="preserve"> _</w:instrText>
      </w:r>
      <w:r>
        <w:instrText>Ref</w:instrText>
      </w:r>
      <w:r w:rsidRPr="00D92843">
        <w:rPr>
          <w:lang w:val="el-GR"/>
        </w:rPr>
        <w:instrText>115104689 \</w:instrText>
      </w:r>
      <w:r>
        <w:instrText>h</w:instrText>
      </w:r>
      <w:r w:rsidRPr="00D92843">
        <w:rPr>
          <w:lang w:val="el-GR"/>
        </w:rPr>
        <w:instrText xml:space="preserve">  \* </w:instrText>
      </w:r>
      <w:r>
        <w:instrText>MERGEFORMAT</w:instrText>
      </w:r>
      <w:r w:rsidRPr="00D92843">
        <w:rPr>
          <w:lang w:val="el-GR"/>
        </w:rPr>
        <w:instrText xml:space="preserve"> </w:instrText>
      </w:r>
      <w:r>
        <w:fldChar w:fldCharType="separate"/>
      </w:r>
      <w:r w:rsidRPr="00FA376C">
        <w:rPr>
          <w:sz w:val="24"/>
          <w:lang w:val="el-GR"/>
        </w:rPr>
        <w:t xml:space="preserve">8.2.14 Υπηρεσίες </w:t>
      </w:r>
      <w:r w:rsidRPr="00FA376C">
        <w:rPr>
          <w:sz w:val="24"/>
          <w:lang w:val="en-US"/>
        </w:rPr>
        <w:t>Security</w:t>
      </w:r>
      <w:r w:rsidRPr="00FA376C">
        <w:rPr>
          <w:sz w:val="24"/>
          <w:lang w:val="el-GR"/>
        </w:rPr>
        <w:t xml:space="preserve"> </w:t>
      </w:r>
      <w:r w:rsidRPr="00FA376C">
        <w:rPr>
          <w:sz w:val="24"/>
          <w:lang w:val="en-US"/>
        </w:rPr>
        <w:t>Operation</w:t>
      </w:r>
      <w:r w:rsidRPr="00FA376C">
        <w:rPr>
          <w:sz w:val="24"/>
          <w:lang w:val="el-GR"/>
        </w:rPr>
        <w:t xml:space="preserve"> </w:t>
      </w:r>
      <w:r w:rsidRPr="00FA376C">
        <w:rPr>
          <w:sz w:val="24"/>
          <w:lang w:val="en-US"/>
        </w:rPr>
        <w:t>Center</w:t>
      </w:r>
      <w:r w:rsidRPr="00FA376C">
        <w:rPr>
          <w:sz w:val="24"/>
          <w:lang w:val="el-GR"/>
        </w:rPr>
        <w:t xml:space="preserve"> </w:t>
      </w:r>
      <w:r>
        <w:fldChar w:fldCharType="end"/>
      </w:r>
      <w:r w:rsidRPr="00405648">
        <w:rPr>
          <w:sz w:val="24"/>
          <w:lang w:val="el-GR"/>
        </w:rPr>
        <w:t xml:space="preserve">. </w:t>
      </w:r>
    </w:p>
    <w:p w14:paraId="4CC00749" w14:textId="77777777" w:rsidR="00674E35" w:rsidRPr="00405648" w:rsidRDefault="00674E35" w:rsidP="00674E35">
      <w:pPr>
        <w:widowControl w:val="0"/>
        <w:suppressAutoHyphens w:val="0"/>
        <w:autoSpaceDE w:val="0"/>
        <w:autoSpaceDN w:val="0"/>
        <w:spacing w:after="0" w:line="276" w:lineRule="auto"/>
        <w:ind w:right="58"/>
        <w:rPr>
          <w:sz w:val="24"/>
          <w:lang w:val="el-GR"/>
        </w:rPr>
      </w:pPr>
      <w:r w:rsidRPr="00405648">
        <w:rPr>
          <w:sz w:val="24"/>
          <w:lang w:val="el-GR"/>
        </w:rPr>
        <w:t xml:space="preserve">**** Υπηρεσίες συντήρησης και τεχνικής υποστήριξης που αναφέρονται στα κεφάλαια </w:t>
      </w:r>
      <w:r>
        <w:fldChar w:fldCharType="begin"/>
      </w:r>
      <w:r w:rsidRPr="00D92843">
        <w:rPr>
          <w:lang w:val="el-GR"/>
        </w:rPr>
        <w:instrText xml:space="preserve"> </w:instrText>
      </w:r>
      <w:r>
        <w:instrText>REF</w:instrText>
      </w:r>
      <w:r w:rsidRPr="00D92843">
        <w:rPr>
          <w:lang w:val="el-GR"/>
        </w:rPr>
        <w:instrText xml:space="preserve"> _</w:instrText>
      </w:r>
      <w:r>
        <w:instrText>Ref</w:instrText>
      </w:r>
      <w:r w:rsidRPr="00D92843">
        <w:rPr>
          <w:lang w:val="el-GR"/>
        </w:rPr>
        <w:instrText>68617514 \</w:instrText>
      </w:r>
      <w:r>
        <w:instrText>h</w:instrText>
      </w:r>
      <w:r w:rsidRPr="00D92843">
        <w:rPr>
          <w:lang w:val="el-GR"/>
        </w:rPr>
        <w:instrText xml:space="preserve">  \* </w:instrText>
      </w:r>
      <w:r>
        <w:instrText>MERGEFORMAT</w:instrText>
      </w:r>
      <w:r w:rsidRPr="00D92843">
        <w:rPr>
          <w:lang w:val="el-GR"/>
        </w:rPr>
        <w:instrText xml:space="preserve"> </w:instrText>
      </w:r>
      <w:r>
        <w:fldChar w:fldCharType="separate"/>
      </w:r>
      <w:r w:rsidRPr="00FA376C">
        <w:rPr>
          <w:sz w:val="24"/>
          <w:lang w:val="el-GR"/>
        </w:rPr>
        <w:t>8.2.15 Υπηρεσίες Τεχνικής Υποστήριξης</w:t>
      </w:r>
      <w:r>
        <w:fldChar w:fldCharType="end"/>
      </w:r>
      <w:r w:rsidRPr="00405648">
        <w:rPr>
          <w:sz w:val="24"/>
          <w:lang w:val="el-GR"/>
        </w:rPr>
        <w:t xml:space="preserve"> και </w:t>
      </w:r>
      <w:r>
        <w:fldChar w:fldCharType="begin"/>
      </w:r>
      <w:r w:rsidRPr="00D92843">
        <w:rPr>
          <w:lang w:val="el-GR"/>
        </w:rPr>
        <w:instrText xml:space="preserve"> </w:instrText>
      </w:r>
      <w:r>
        <w:instrText>REF</w:instrText>
      </w:r>
      <w:r w:rsidRPr="00D92843">
        <w:rPr>
          <w:lang w:val="el-GR"/>
        </w:rPr>
        <w:instrText xml:space="preserve"> _</w:instrText>
      </w:r>
      <w:r>
        <w:instrText>Ref</w:instrText>
      </w:r>
      <w:r w:rsidRPr="00D92843">
        <w:rPr>
          <w:lang w:val="el-GR"/>
        </w:rPr>
        <w:instrText>113441104 \</w:instrText>
      </w:r>
      <w:r>
        <w:instrText>h</w:instrText>
      </w:r>
      <w:r w:rsidRPr="00D92843">
        <w:rPr>
          <w:lang w:val="el-GR"/>
        </w:rPr>
        <w:instrText xml:space="preserve">  \* </w:instrText>
      </w:r>
      <w:r>
        <w:instrText>MERGEFORMAT</w:instrText>
      </w:r>
      <w:r w:rsidRPr="00D92843">
        <w:rPr>
          <w:lang w:val="el-GR"/>
        </w:rPr>
        <w:instrText xml:space="preserve"> </w:instrText>
      </w:r>
      <w:r>
        <w:fldChar w:fldCharType="separate"/>
      </w:r>
      <w:r w:rsidRPr="00FA376C">
        <w:rPr>
          <w:sz w:val="24"/>
          <w:lang w:val="el-GR"/>
        </w:rPr>
        <w:t>8.2.16.3 Υπηρεσίες Περιόδου Εγγύησης «Καλής Λειτουργίας» και συντήρησης</w:t>
      </w:r>
      <w:r>
        <w:fldChar w:fldCharType="end"/>
      </w:r>
      <w:r w:rsidRPr="00405648">
        <w:rPr>
          <w:sz w:val="24"/>
          <w:lang w:val="el-GR"/>
        </w:rPr>
        <w:t xml:space="preserve"> του παραρτήματος Ι.</w:t>
      </w:r>
    </w:p>
    <w:p w14:paraId="7DE4494B" w14:textId="77777777" w:rsidR="00674E35" w:rsidRDefault="00674E35" w:rsidP="00674E35">
      <w:pPr>
        <w:widowControl w:val="0"/>
        <w:suppressAutoHyphens w:val="0"/>
        <w:autoSpaceDE w:val="0"/>
        <w:autoSpaceDN w:val="0"/>
        <w:spacing w:line="276" w:lineRule="auto"/>
        <w:ind w:right="58"/>
        <w:rPr>
          <w:sz w:val="24"/>
          <w:lang w:val="el-GR"/>
        </w:rPr>
      </w:pPr>
      <w:r w:rsidRPr="00405648">
        <w:rPr>
          <w:sz w:val="24"/>
          <w:lang w:val="el-GR"/>
        </w:rPr>
        <w:t xml:space="preserve">***** Η συνολική ετήσια αξία συντήρησης </w:t>
      </w:r>
      <w:r>
        <w:rPr>
          <w:sz w:val="24"/>
          <w:lang w:val="el-GR"/>
        </w:rPr>
        <w:t xml:space="preserve">και ανανέωσης αδειών </w:t>
      </w:r>
      <w:r w:rsidRPr="00405648">
        <w:rPr>
          <w:sz w:val="24"/>
          <w:lang w:val="el-GR"/>
        </w:rPr>
        <w:t xml:space="preserve">πρέπει να ανέρχεται έως </w:t>
      </w:r>
      <w:r>
        <w:rPr>
          <w:sz w:val="24"/>
          <w:lang w:val="el-GR"/>
        </w:rPr>
        <w:t>ποσοστό</w:t>
      </w:r>
      <w:r w:rsidRPr="000812D7">
        <w:rPr>
          <w:sz w:val="24"/>
          <w:lang w:val="el-GR"/>
        </w:rPr>
        <w:t xml:space="preserve"> </w:t>
      </w:r>
      <w:r>
        <w:rPr>
          <w:sz w:val="24"/>
          <w:lang w:val="el-GR"/>
        </w:rPr>
        <w:t>22,3%</w:t>
      </w:r>
      <w:r w:rsidRPr="00405648">
        <w:rPr>
          <w:sz w:val="24"/>
          <w:lang w:val="el-GR"/>
        </w:rPr>
        <w:t xml:space="preserve"> του αθροίσματος του κόστους που δηλώνεται στους Πίνακες Α και Β της Οικονομικής Προσφοράς (συνολικά </w:t>
      </w:r>
      <w:r>
        <w:rPr>
          <w:sz w:val="24"/>
          <w:lang w:val="el-GR"/>
        </w:rPr>
        <w:t>44,6%</w:t>
      </w:r>
      <w:r w:rsidRPr="00405648">
        <w:rPr>
          <w:sz w:val="24"/>
          <w:lang w:val="el-GR"/>
        </w:rPr>
        <w:t xml:space="preserve"> για τα δύο (2) έτη).</w:t>
      </w:r>
    </w:p>
    <w:p w14:paraId="39DCBC61" w14:textId="77777777" w:rsidR="00674E35" w:rsidRDefault="00674E35" w:rsidP="00674E35">
      <w:pPr>
        <w:widowControl w:val="0"/>
        <w:suppressAutoHyphens w:val="0"/>
        <w:autoSpaceDE w:val="0"/>
        <w:autoSpaceDN w:val="0"/>
        <w:spacing w:line="276" w:lineRule="auto"/>
        <w:ind w:right="58"/>
        <w:rPr>
          <w:sz w:val="24"/>
          <w:lang w:val="el-GR"/>
        </w:rPr>
      </w:pPr>
      <w:r>
        <w:rPr>
          <w:sz w:val="24"/>
          <w:lang w:val="el-GR"/>
        </w:rPr>
        <w:t>ΛΟΙΠΕΣ ΟΔΗΓΙΕΣ:</w:t>
      </w:r>
    </w:p>
    <w:p w14:paraId="6433B213" w14:textId="77777777" w:rsidR="00674E35" w:rsidRDefault="00674E35" w:rsidP="00674E35">
      <w:pPr>
        <w:widowControl w:val="0"/>
        <w:suppressAutoHyphens w:val="0"/>
        <w:autoSpaceDE w:val="0"/>
        <w:autoSpaceDN w:val="0"/>
        <w:spacing w:line="276" w:lineRule="auto"/>
        <w:ind w:right="58"/>
        <w:rPr>
          <w:sz w:val="24"/>
          <w:lang w:val="el-GR"/>
        </w:rPr>
      </w:pPr>
      <w:r w:rsidRPr="00405648">
        <w:rPr>
          <w:sz w:val="24"/>
          <w:lang w:val="el-GR"/>
        </w:rPr>
        <w:t xml:space="preserve">Στην περίπτωση που ο υποψήφιος επιλέξει την </w:t>
      </w:r>
      <w:r w:rsidRPr="00405648">
        <w:rPr>
          <w:sz w:val="24"/>
          <w:u w:val="single"/>
          <w:lang w:val="el-GR"/>
        </w:rPr>
        <w:t>λύση των αδειών απεριόριστης χρονικής ισχύος</w:t>
      </w:r>
      <w:r w:rsidRPr="00405648">
        <w:rPr>
          <w:sz w:val="24"/>
          <w:lang w:val="el-GR"/>
        </w:rPr>
        <w:t>, δεν συμπληρώνονται ποσά στην στήλη ΕΤΗΣΙΑ ΑΝΑΝΕΩΣΗ ΑΔΕΙΩΝ ΧΡΗΣΗΣ ΕΤΟΙΜΟΥ ΛΟΓΙΣΜΙΚΟΥ</w:t>
      </w:r>
      <w:r>
        <w:rPr>
          <w:sz w:val="24"/>
          <w:lang w:val="el-GR"/>
        </w:rPr>
        <w:t>.</w:t>
      </w:r>
    </w:p>
    <w:p w14:paraId="2E435EC4" w14:textId="77777777" w:rsidR="00674E35" w:rsidRPr="00405648" w:rsidRDefault="00674E35" w:rsidP="00674E35">
      <w:pPr>
        <w:widowControl w:val="0"/>
        <w:suppressAutoHyphens w:val="0"/>
        <w:autoSpaceDE w:val="0"/>
        <w:autoSpaceDN w:val="0"/>
        <w:spacing w:line="276" w:lineRule="auto"/>
        <w:ind w:right="58"/>
        <w:rPr>
          <w:sz w:val="24"/>
          <w:lang w:val="el-GR"/>
        </w:rPr>
      </w:pPr>
      <w:r>
        <w:rPr>
          <w:sz w:val="24"/>
          <w:lang w:val="el-GR"/>
        </w:rPr>
        <w:t>Η</w:t>
      </w:r>
      <w:r w:rsidRPr="00405648">
        <w:rPr>
          <w:sz w:val="24"/>
          <w:lang w:val="el-GR"/>
        </w:rPr>
        <w:t xml:space="preserve"> συνολική ετήσια αξία συντήρησης </w:t>
      </w:r>
      <w:r>
        <w:rPr>
          <w:sz w:val="24"/>
          <w:lang w:val="el-GR"/>
        </w:rPr>
        <w:t xml:space="preserve">(άθροισμα στηλών ΥΠΗΡΕΣΙΕΣ </w:t>
      </w:r>
      <w:r>
        <w:rPr>
          <w:sz w:val="24"/>
          <w:lang w:val="en-US"/>
        </w:rPr>
        <w:t>SOC</w:t>
      </w:r>
      <w:r w:rsidRPr="002E6CDF">
        <w:rPr>
          <w:sz w:val="24"/>
          <w:lang w:val="el-GR"/>
        </w:rPr>
        <w:t xml:space="preserve"> </w:t>
      </w:r>
      <w:r>
        <w:rPr>
          <w:sz w:val="24"/>
          <w:lang w:val="el-GR"/>
        </w:rPr>
        <w:t xml:space="preserve">και ΛΟΙΠΕΣ ΥΠΗΡΕΣΙΕΣ ΑΝΑ ΕΤΟΣ ΣΥΝΤΗΡΗΣΗΣ) </w:t>
      </w:r>
      <w:r w:rsidRPr="00405648">
        <w:rPr>
          <w:sz w:val="24"/>
          <w:lang w:val="el-GR"/>
        </w:rPr>
        <w:t xml:space="preserve">δεν θα πρέπει να υπερβαίνει ετησίως </w:t>
      </w:r>
      <w:r>
        <w:rPr>
          <w:sz w:val="24"/>
          <w:lang w:val="el-GR"/>
        </w:rPr>
        <w:t>ποσοστό 10,7%</w:t>
      </w:r>
      <w:r w:rsidRPr="00405648">
        <w:rPr>
          <w:sz w:val="24"/>
          <w:lang w:val="el-GR"/>
        </w:rPr>
        <w:t xml:space="preserve"> του αθροίσματος του κόστους που δηλώνεται στους Πίνακες Α και Β της Οικονομικής Προσφοράς (συνολικά </w:t>
      </w:r>
      <w:r>
        <w:rPr>
          <w:sz w:val="24"/>
          <w:lang w:val="el-GR"/>
        </w:rPr>
        <w:t>ποσοστό 21,4%</w:t>
      </w:r>
      <w:r w:rsidRPr="00405648">
        <w:rPr>
          <w:sz w:val="24"/>
          <w:lang w:val="el-GR"/>
        </w:rPr>
        <w:t xml:space="preserve"> για τα δύο (2) έτη)    </w:t>
      </w:r>
    </w:p>
    <w:p w14:paraId="69975334" w14:textId="77777777" w:rsidR="00674E35" w:rsidRDefault="00674E35" w:rsidP="00674E35">
      <w:pPr>
        <w:spacing w:line="276" w:lineRule="auto"/>
        <w:rPr>
          <w:sz w:val="20"/>
          <w:lang w:val="el-GR"/>
        </w:rPr>
      </w:pPr>
      <w:r>
        <w:rPr>
          <w:sz w:val="24"/>
          <w:lang w:val="el-GR"/>
        </w:rPr>
        <w:t>Αν</w:t>
      </w:r>
      <w:r w:rsidRPr="00405648">
        <w:rPr>
          <w:sz w:val="24"/>
          <w:lang w:val="el-GR"/>
        </w:rPr>
        <w:t xml:space="preserve"> σε κάποια κατηγορία προσφερθούν περισσότερα από ένα λογισμικά ώστε να καλυφθούν οι απαιτήσεις της διακήρυξης, τότε για κάθε προσφερόμενο λογισμικό θα πρέπει να υπάρχει αναλυτική αναφορά,  σε ξεχωριστή γραμμή.</w:t>
      </w:r>
    </w:p>
    <w:p w14:paraId="6D5FCF19" w14:textId="77777777" w:rsidR="00674E35" w:rsidRPr="007E55C8" w:rsidRDefault="00674E35" w:rsidP="00674E35">
      <w:pPr>
        <w:spacing w:line="276" w:lineRule="auto"/>
        <w:rPr>
          <w:sz w:val="20"/>
          <w:lang w:val="el-GR"/>
        </w:rPr>
      </w:pPr>
    </w:p>
    <w:p w14:paraId="0F98F0CA" w14:textId="77777777" w:rsidR="00674E35" w:rsidRDefault="00674E35" w:rsidP="00674E35">
      <w:pPr>
        <w:pStyle w:val="2"/>
        <w:spacing w:before="0" w:after="0" w:line="276" w:lineRule="auto"/>
        <w:rPr>
          <w:rFonts w:cs="Calibri"/>
          <w:color w:val="auto"/>
          <w:lang w:val="el-GR"/>
        </w:rPr>
      </w:pPr>
      <w:bookmarkStart w:id="24" w:name="_Toc196914268"/>
      <w:r w:rsidRPr="007B7A24">
        <w:rPr>
          <w:rFonts w:cs="Calibri"/>
          <w:color w:val="auto"/>
          <w:lang w:val="el-GR"/>
        </w:rPr>
        <w:t xml:space="preserve">Πίνακας </w:t>
      </w:r>
      <w:r>
        <w:rPr>
          <w:rFonts w:cs="Calibri"/>
          <w:color w:val="auto"/>
          <w:lang w:val="el-GR"/>
        </w:rPr>
        <w:t>Δ</w:t>
      </w:r>
      <w:r w:rsidRPr="007B7A24">
        <w:rPr>
          <w:rFonts w:cs="Calibri"/>
          <w:color w:val="auto"/>
          <w:lang w:val="el-GR"/>
        </w:rPr>
        <w:t>: Συνολική Οικονομική Προσφορά</w:t>
      </w:r>
      <w:bookmarkEnd w:id="24"/>
    </w:p>
    <w:tbl>
      <w:tblPr>
        <w:tblW w:w="5000" w:type="pct"/>
        <w:tblLook w:val="0000" w:firstRow="0" w:lastRow="0" w:firstColumn="0" w:lastColumn="0" w:noHBand="0" w:noVBand="0"/>
      </w:tblPr>
      <w:tblGrid>
        <w:gridCol w:w="572"/>
        <w:gridCol w:w="2973"/>
        <w:gridCol w:w="1638"/>
        <w:gridCol w:w="923"/>
        <w:gridCol w:w="2190"/>
      </w:tblGrid>
      <w:tr w:rsidR="00674E35" w:rsidRPr="004913E4" w14:paraId="33F0A157" w14:textId="77777777" w:rsidTr="004913E4">
        <w:trPr>
          <w:cantSplit/>
          <w:trHeight w:val="1316"/>
        </w:trPr>
        <w:tc>
          <w:tcPr>
            <w:tcW w:w="34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95A2EDA"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b/>
                <w:sz w:val="18"/>
                <w:szCs w:val="18"/>
                <w:lang w:val="el-GR" w:eastAsia="en-US"/>
              </w:rPr>
            </w:pPr>
            <w:r w:rsidRPr="001032C5">
              <w:rPr>
                <w:rFonts w:eastAsia="Calibri"/>
                <w:b/>
                <w:sz w:val="18"/>
                <w:szCs w:val="18"/>
                <w:lang w:val="el-GR" w:eastAsia="en-US"/>
              </w:rPr>
              <w:t>Α/Α</w:t>
            </w:r>
          </w:p>
        </w:tc>
        <w:tc>
          <w:tcPr>
            <w:tcW w:w="179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3C44740"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b/>
                <w:sz w:val="18"/>
                <w:szCs w:val="18"/>
                <w:lang w:val="el-GR" w:eastAsia="en-US"/>
              </w:rPr>
            </w:pPr>
            <w:r w:rsidRPr="001032C5">
              <w:rPr>
                <w:rFonts w:eastAsia="Calibri"/>
                <w:b/>
                <w:sz w:val="18"/>
                <w:szCs w:val="18"/>
                <w:lang w:val="el-GR" w:eastAsia="en-US"/>
              </w:rPr>
              <w:t>Περιγραφή</w:t>
            </w:r>
          </w:p>
        </w:tc>
        <w:tc>
          <w:tcPr>
            <w:tcW w:w="987"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BEE2502"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b/>
                <w:sz w:val="18"/>
                <w:szCs w:val="18"/>
                <w:lang w:val="el-GR" w:eastAsia="en-US"/>
              </w:rPr>
            </w:pPr>
            <w:r w:rsidRPr="001032C5">
              <w:rPr>
                <w:rFonts w:eastAsia="Calibri"/>
                <w:b/>
                <w:sz w:val="18"/>
                <w:szCs w:val="18"/>
                <w:lang w:val="el-GR" w:eastAsia="en-US"/>
              </w:rPr>
              <w:t xml:space="preserve">Προσφερόμενη Τιμή </w:t>
            </w:r>
            <w:r w:rsidRPr="001032C5">
              <w:rPr>
                <w:rFonts w:eastAsia="Calibri"/>
                <w:b/>
                <w:sz w:val="18"/>
                <w:szCs w:val="18"/>
                <w:lang w:val="el-GR" w:eastAsia="en-US"/>
              </w:rPr>
              <w:br/>
              <w:t>σε Ευρώ</w:t>
            </w:r>
            <w:r w:rsidRPr="001032C5">
              <w:rPr>
                <w:rFonts w:eastAsia="Calibri"/>
                <w:b/>
                <w:sz w:val="18"/>
                <w:szCs w:val="18"/>
                <w:lang w:val="el-GR" w:eastAsia="en-US"/>
              </w:rPr>
              <w:br/>
              <w:t>(χωρίς ΦΠΑ)</w:t>
            </w:r>
          </w:p>
        </w:tc>
        <w:tc>
          <w:tcPr>
            <w:tcW w:w="556"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A0EB7DD"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b/>
                <w:sz w:val="18"/>
                <w:szCs w:val="18"/>
                <w:lang w:val="el-GR" w:eastAsia="en-US"/>
              </w:rPr>
            </w:pPr>
            <w:r w:rsidRPr="001032C5">
              <w:rPr>
                <w:rFonts w:eastAsia="Calibri"/>
                <w:b/>
                <w:sz w:val="18"/>
                <w:szCs w:val="18"/>
                <w:lang w:val="el-GR" w:eastAsia="en-US"/>
              </w:rPr>
              <w:t xml:space="preserve">ΦΠΑ 24% </w:t>
            </w:r>
            <w:r w:rsidRPr="001032C5">
              <w:rPr>
                <w:rFonts w:eastAsia="Calibri"/>
                <w:b/>
                <w:sz w:val="18"/>
                <w:szCs w:val="18"/>
                <w:lang w:val="el-GR" w:eastAsia="en-US"/>
              </w:rPr>
              <w:br/>
              <w:t>σε Ευρώ</w:t>
            </w:r>
          </w:p>
        </w:tc>
        <w:tc>
          <w:tcPr>
            <w:tcW w:w="132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1B04FC3" w14:textId="77777777" w:rsidR="00674E35" w:rsidRPr="001032C5" w:rsidRDefault="00674E35" w:rsidP="004913E4">
            <w:pPr>
              <w:widowControl w:val="0"/>
              <w:suppressAutoHyphens w:val="0"/>
              <w:autoSpaceDE w:val="0"/>
              <w:autoSpaceDN w:val="0"/>
              <w:snapToGrid w:val="0"/>
              <w:spacing w:after="0" w:line="276" w:lineRule="auto"/>
              <w:ind w:right="455"/>
              <w:jc w:val="center"/>
              <w:rPr>
                <w:rFonts w:eastAsia="Calibri"/>
                <w:b/>
                <w:sz w:val="18"/>
                <w:szCs w:val="18"/>
                <w:lang w:val="el-GR" w:eastAsia="en-US"/>
              </w:rPr>
            </w:pPr>
            <w:r w:rsidRPr="001032C5">
              <w:rPr>
                <w:rFonts w:eastAsia="Calibri"/>
                <w:b/>
                <w:sz w:val="18"/>
                <w:szCs w:val="18"/>
                <w:lang w:val="el-GR" w:eastAsia="en-US"/>
              </w:rPr>
              <w:t>ΣΥΝΟΛΙΚΗ ΠΡΟΣΦΕΡΟΜΕΝΗ</w:t>
            </w:r>
            <w:r>
              <w:rPr>
                <w:rFonts w:eastAsia="Calibri"/>
                <w:b/>
                <w:sz w:val="18"/>
                <w:szCs w:val="18"/>
                <w:lang w:val="el-GR" w:eastAsia="en-US"/>
              </w:rPr>
              <w:t xml:space="preserve"> </w:t>
            </w:r>
            <w:r w:rsidRPr="001032C5">
              <w:rPr>
                <w:rFonts w:eastAsia="Calibri"/>
                <w:b/>
                <w:sz w:val="18"/>
                <w:szCs w:val="18"/>
                <w:lang w:val="el-GR" w:eastAsia="en-US"/>
              </w:rPr>
              <w:t xml:space="preserve">ΤΙΜΗ με ΦΠΑ </w:t>
            </w:r>
            <w:r w:rsidRPr="001032C5">
              <w:rPr>
                <w:rFonts w:eastAsia="Calibri"/>
                <w:b/>
                <w:sz w:val="18"/>
                <w:szCs w:val="18"/>
                <w:lang w:val="el-GR" w:eastAsia="en-US"/>
              </w:rPr>
              <w:br/>
              <w:t>σε Ευρώ</w:t>
            </w:r>
          </w:p>
        </w:tc>
      </w:tr>
      <w:tr w:rsidR="00674E35" w14:paraId="0C09AB54" w14:textId="77777777" w:rsidTr="004913E4">
        <w:trPr>
          <w:trHeight w:val="284"/>
        </w:trPr>
        <w:tc>
          <w:tcPr>
            <w:tcW w:w="344" w:type="pct"/>
            <w:tcBorders>
              <w:top w:val="single" w:sz="4" w:space="0" w:color="000000"/>
              <w:left w:val="single" w:sz="4" w:space="0" w:color="000000"/>
              <w:bottom w:val="single" w:sz="4" w:space="0" w:color="000000"/>
              <w:right w:val="single" w:sz="4" w:space="0" w:color="000000"/>
            </w:tcBorders>
          </w:tcPr>
          <w:p w14:paraId="316A549B"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b/>
                <w:sz w:val="18"/>
                <w:szCs w:val="18"/>
                <w:lang w:val="el-GR" w:eastAsia="en-US"/>
              </w:rPr>
            </w:pPr>
            <w:r w:rsidRPr="001032C5">
              <w:rPr>
                <w:rFonts w:eastAsia="Calibri"/>
                <w:b/>
                <w:sz w:val="18"/>
                <w:szCs w:val="18"/>
                <w:lang w:val="el-GR" w:eastAsia="en-US"/>
              </w:rPr>
              <w:t>1.</w:t>
            </w:r>
          </w:p>
        </w:tc>
        <w:tc>
          <w:tcPr>
            <w:tcW w:w="1792" w:type="pct"/>
            <w:tcBorders>
              <w:top w:val="single" w:sz="4" w:space="0" w:color="000000"/>
              <w:left w:val="single" w:sz="4" w:space="0" w:color="000000"/>
              <w:bottom w:val="single" w:sz="4" w:space="0" w:color="000000"/>
              <w:right w:val="single" w:sz="4" w:space="0" w:color="000000"/>
            </w:tcBorders>
          </w:tcPr>
          <w:p w14:paraId="573C9B85"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r w:rsidRPr="001032C5">
              <w:rPr>
                <w:rFonts w:eastAsia="Calibri"/>
                <w:b/>
                <w:sz w:val="18"/>
                <w:szCs w:val="18"/>
                <w:lang w:val="el-GR" w:eastAsia="en-US"/>
              </w:rPr>
              <w:t>Έτοιμο Λογισμικό</w:t>
            </w:r>
            <w:r w:rsidRPr="001032C5">
              <w:rPr>
                <w:rFonts w:eastAsia="Calibri"/>
                <w:sz w:val="18"/>
                <w:szCs w:val="18"/>
                <w:lang w:val="el-GR" w:eastAsia="en-US"/>
              </w:rPr>
              <w:t xml:space="preserve"> </w:t>
            </w:r>
          </w:p>
        </w:tc>
        <w:tc>
          <w:tcPr>
            <w:tcW w:w="987" w:type="pct"/>
            <w:tcBorders>
              <w:top w:val="single" w:sz="4" w:space="0" w:color="000000"/>
              <w:left w:val="single" w:sz="4" w:space="0" w:color="000000"/>
              <w:bottom w:val="single" w:sz="4" w:space="0" w:color="000000"/>
              <w:right w:val="single" w:sz="2" w:space="0" w:color="auto"/>
            </w:tcBorders>
            <w:vAlign w:val="center"/>
          </w:tcPr>
          <w:p w14:paraId="4B2715A8"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556" w:type="pct"/>
            <w:tcBorders>
              <w:top w:val="single" w:sz="4" w:space="0" w:color="000000"/>
              <w:left w:val="single" w:sz="2" w:space="0" w:color="auto"/>
              <w:bottom w:val="single" w:sz="2" w:space="0" w:color="auto"/>
              <w:right w:val="single" w:sz="2" w:space="0" w:color="auto"/>
            </w:tcBorders>
          </w:tcPr>
          <w:p w14:paraId="3576ADCA"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1320" w:type="pct"/>
            <w:tcBorders>
              <w:top w:val="single" w:sz="4" w:space="0" w:color="000000"/>
              <w:left w:val="single" w:sz="2" w:space="0" w:color="auto"/>
              <w:bottom w:val="single" w:sz="2" w:space="0" w:color="auto"/>
              <w:right w:val="single" w:sz="2" w:space="0" w:color="auto"/>
            </w:tcBorders>
          </w:tcPr>
          <w:p w14:paraId="24F5FD78"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r>
      <w:tr w:rsidR="00674E35" w14:paraId="0D8069B4" w14:textId="77777777" w:rsidTr="004913E4">
        <w:trPr>
          <w:trHeight w:val="284"/>
        </w:trPr>
        <w:tc>
          <w:tcPr>
            <w:tcW w:w="344" w:type="pct"/>
            <w:tcBorders>
              <w:left w:val="single" w:sz="4" w:space="0" w:color="000000"/>
              <w:bottom w:val="single" w:sz="4" w:space="0" w:color="000000"/>
              <w:right w:val="single" w:sz="4" w:space="0" w:color="000000"/>
            </w:tcBorders>
          </w:tcPr>
          <w:p w14:paraId="69FE7AF9"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b/>
                <w:sz w:val="18"/>
                <w:szCs w:val="18"/>
                <w:lang w:val="el-GR" w:eastAsia="en-US"/>
              </w:rPr>
            </w:pPr>
            <w:r w:rsidRPr="001032C5">
              <w:rPr>
                <w:rFonts w:eastAsia="Calibri"/>
                <w:b/>
                <w:sz w:val="18"/>
                <w:szCs w:val="18"/>
                <w:lang w:val="el-GR" w:eastAsia="en-US"/>
              </w:rPr>
              <w:t>2.</w:t>
            </w:r>
          </w:p>
        </w:tc>
        <w:tc>
          <w:tcPr>
            <w:tcW w:w="1792" w:type="pct"/>
            <w:tcBorders>
              <w:left w:val="single" w:sz="4" w:space="0" w:color="000000"/>
              <w:bottom w:val="single" w:sz="4" w:space="0" w:color="000000"/>
              <w:right w:val="single" w:sz="4" w:space="0" w:color="000000"/>
            </w:tcBorders>
          </w:tcPr>
          <w:p w14:paraId="62C08AE8"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r w:rsidRPr="001032C5">
              <w:rPr>
                <w:rFonts w:eastAsia="Calibri"/>
                <w:b/>
                <w:sz w:val="18"/>
                <w:szCs w:val="18"/>
                <w:lang w:val="el-GR" w:eastAsia="en-US"/>
              </w:rPr>
              <w:t>Υπηρεσίες</w:t>
            </w:r>
          </w:p>
        </w:tc>
        <w:tc>
          <w:tcPr>
            <w:tcW w:w="987" w:type="pct"/>
            <w:tcBorders>
              <w:left w:val="single" w:sz="4" w:space="0" w:color="000000"/>
              <w:bottom w:val="single" w:sz="4" w:space="0" w:color="000000"/>
              <w:right w:val="single" w:sz="2" w:space="0" w:color="auto"/>
            </w:tcBorders>
            <w:vAlign w:val="center"/>
          </w:tcPr>
          <w:p w14:paraId="0F9DC811"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556" w:type="pct"/>
            <w:tcBorders>
              <w:top w:val="single" w:sz="2" w:space="0" w:color="auto"/>
              <w:left w:val="single" w:sz="2" w:space="0" w:color="auto"/>
              <w:bottom w:val="single" w:sz="2" w:space="0" w:color="auto"/>
              <w:right w:val="single" w:sz="2" w:space="0" w:color="auto"/>
            </w:tcBorders>
          </w:tcPr>
          <w:p w14:paraId="3310E93A"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1320" w:type="pct"/>
            <w:tcBorders>
              <w:top w:val="single" w:sz="2" w:space="0" w:color="auto"/>
              <w:left w:val="single" w:sz="2" w:space="0" w:color="auto"/>
              <w:bottom w:val="single" w:sz="2" w:space="0" w:color="auto"/>
              <w:right w:val="single" w:sz="2" w:space="0" w:color="auto"/>
            </w:tcBorders>
          </w:tcPr>
          <w:p w14:paraId="2AD020A0"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r>
      <w:tr w:rsidR="00674E35" w:rsidRPr="004913E4" w14:paraId="10CF3649" w14:textId="77777777" w:rsidTr="004913E4">
        <w:trPr>
          <w:trHeight w:val="284"/>
        </w:trPr>
        <w:tc>
          <w:tcPr>
            <w:tcW w:w="344" w:type="pct"/>
            <w:tcBorders>
              <w:left w:val="single" w:sz="4" w:space="0" w:color="000000"/>
              <w:bottom w:val="single" w:sz="4" w:space="0" w:color="000000"/>
              <w:right w:val="single" w:sz="4" w:space="0" w:color="000000"/>
            </w:tcBorders>
          </w:tcPr>
          <w:p w14:paraId="1263CE20"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b/>
                <w:sz w:val="18"/>
                <w:szCs w:val="18"/>
                <w:lang w:val="el-GR" w:eastAsia="en-US"/>
              </w:rPr>
            </w:pPr>
            <w:r>
              <w:rPr>
                <w:rFonts w:eastAsia="Calibri"/>
                <w:b/>
                <w:sz w:val="18"/>
                <w:szCs w:val="18"/>
                <w:lang w:val="el-GR" w:eastAsia="en-US"/>
              </w:rPr>
              <w:t>3.</w:t>
            </w:r>
          </w:p>
        </w:tc>
        <w:tc>
          <w:tcPr>
            <w:tcW w:w="1792" w:type="pct"/>
            <w:tcBorders>
              <w:left w:val="single" w:sz="4" w:space="0" w:color="000000"/>
              <w:bottom w:val="single" w:sz="4" w:space="0" w:color="000000"/>
              <w:right w:val="single" w:sz="4" w:space="0" w:color="000000"/>
            </w:tcBorders>
          </w:tcPr>
          <w:p w14:paraId="19E749CA"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b/>
                <w:sz w:val="18"/>
                <w:szCs w:val="18"/>
                <w:lang w:val="el-GR" w:eastAsia="en-US"/>
              </w:rPr>
            </w:pPr>
            <w:r w:rsidRPr="00414873">
              <w:rPr>
                <w:rFonts w:eastAsia="Calibri"/>
                <w:b/>
                <w:sz w:val="18"/>
                <w:szCs w:val="18"/>
                <w:lang w:val="el-GR" w:eastAsia="en-US"/>
              </w:rPr>
              <w:t>Υπηρεσίες Περιόδου Συντήρησης</w:t>
            </w:r>
            <w:r>
              <w:rPr>
                <w:rFonts w:eastAsia="Calibri"/>
                <w:b/>
                <w:sz w:val="18"/>
                <w:szCs w:val="18"/>
                <w:lang w:val="el-GR" w:eastAsia="en-US"/>
              </w:rPr>
              <w:t xml:space="preserve"> και ανανέωσης αδειών</w:t>
            </w:r>
            <w:r w:rsidRPr="00414873">
              <w:rPr>
                <w:rFonts w:eastAsia="Calibri"/>
                <w:b/>
                <w:sz w:val="18"/>
                <w:szCs w:val="18"/>
                <w:lang w:val="el-GR" w:eastAsia="en-US"/>
              </w:rPr>
              <w:t xml:space="preserve"> δύο (2) ετών (προαίρεση)</w:t>
            </w:r>
          </w:p>
        </w:tc>
        <w:tc>
          <w:tcPr>
            <w:tcW w:w="987" w:type="pct"/>
            <w:tcBorders>
              <w:left w:val="single" w:sz="4" w:space="0" w:color="000000"/>
              <w:bottom w:val="single" w:sz="4" w:space="0" w:color="000000"/>
              <w:right w:val="single" w:sz="2" w:space="0" w:color="auto"/>
            </w:tcBorders>
            <w:vAlign w:val="center"/>
          </w:tcPr>
          <w:p w14:paraId="59068BA5"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556" w:type="pct"/>
            <w:tcBorders>
              <w:top w:val="single" w:sz="2" w:space="0" w:color="auto"/>
              <w:left w:val="single" w:sz="2" w:space="0" w:color="auto"/>
              <w:bottom w:val="single" w:sz="2" w:space="0" w:color="auto"/>
              <w:right w:val="single" w:sz="2" w:space="0" w:color="auto"/>
            </w:tcBorders>
          </w:tcPr>
          <w:p w14:paraId="6B281ACC"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c>
          <w:tcPr>
            <w:tcW w:w="1320" w:type="pct"/>
            <w:tcBorders>
              <w:top w:val="single" w:sz="2" w:space="0" w:color="auto"/>
              <w:left w:val="single" w:sz="2" w:space="0" w:color="auto"/>
              <w:bottom w:val="single" w:sz="2" w:space="0" w:color="auto"/>
              <w:right w:val="single" w:sz="2" w:space="0" w:color="auto"/>
            </w:tcBorders>
          </w:tcPr>
          <w:p w14:paraId="7C98E67D" w14:textId="77777777" w:rsidR="00674E35" w:rsidRPr="001032C5" w:rsidRDefault="00674E35" w:rsidP="004913E4">
            <w:pPr>
              <w:widowControl w:val="0"/>
              <w:suppressAutoHyphens w:val="0"/>
              <w:autoSpaceDE w:val="0"/>
              <w:autoSpaceDN w:val="0"/>
              <w:snapToGrid w:val="0"/>
              <w:spacing w:after="0" w:line="276" w:lineRule="auto"/>
              <w:jc w:val="left"/>
              <w:rPr>
                <w:rFonts w:eastAsia="Calibri"/>
                <w:sz w:val="18"/>
                <w:szCs w:val="18"/>
                <w:lang w:val="el-GR" w:eastAsia="en-US"/>
              </w:rPr>
            </w:pPr>
          </w:p>
        </w:tc>
      </w:tr>
      <w:tr w:rsidR="00674E35" w14:paraId="4234CD86" w14:textId="77777777" w:rsidTr="004913E4">
        <w:trPr>
          <w:trHeight w:val="357"/>
        </w:trPr>
        <w:tc>
          <w:tcPr>
            <w:tcW w:w="344" w:type="pct"/>
            <w:tcBorders>
              <w:top w:val="single" w:sz="2" w:space="0" w:color="auto"/>
              <w:left w:val="single" w:sz="2" w:space="0" w:color="auto"/>
              <w:bottom w:val="single" w:sz="2" w:space="0" w:color="auto"/>
              <w:right w:val="single" w:sz="2" w:space="0" w:color="auto"/>
            </w:tcBorders>
            <w:shd w:val="clear" w:color="auto" w:fill="BFBFBF"/>
          </w:tcPr>
          <w:p w14:paraId="78623F25"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b/>
                <w:sz w:val="18"/>
                <w:szCs w:val="18"/>
                <w:lang w:val="el-GR" w:eastAsia="en-US"/>
              </w:rPr>
            </w:pPr>
          </w:p>
        </w:tc>
        <w:tc>
          <w:tcPr>
            <w:tcW w:w="1792" w:type="pct"/>
            <w:tcBorders>
              <w:top w:val="single" w:sz="2" w:space="0" w:color="auto"/>
              <w:left w:val="single" w:sz="2" w:space="0" w:color="auto"/>
              <w:bottom w:val="single" w:sz="2" w:space="0" w:color="auto"/>
              <w:right w:val="single" w:sz="2" w:space="0" w:color="auto"/>
            </w:tcBorders>
            <w:shd w:val="clear" w:color="auto" w:fill="BFBFBF"/>
          </w:tcPr>
          <w:p w14:paraId="6C1D6A38"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sz w:val="18"/>
                <w:szCs w:val="18"/>
                <w:lang w:val="el-GR" w:eastAsia="en-US"/>
              </w:rPr>
            </w:pPr>
            <w:r w:rsidRPr="001032C5">
              <w:rPr>
                <w:rFonts w:eastAsia="Calibri"/>
                <w:b/>
                <w:sz w:val="18"/>
                <w:szCs w:val="18"/>
                <w:lang w:val="el-GR" w:eastAsia="en-US"/>
              </w:rPr>
              <w:t>ΣΥΝΟΛΙΚΗ ΠΡΟΣΦΕΡΟΜΕΝΗ ΤΙΜΗ ΕΡΓΟΥ</w:t>
            </w:r>
          </w:p>
        </w:tc>
        <w:tc>
          <w:tcPr>
            <w:tcW w:w="987" w:type="pct"/>
            <w:tcBorders>
              <w:top w:val="single" w:sz="2" w:space="0" w:color="auto"/>
              <w:left w:val="single" w:sz="2" w:space="0" w:color="auto"/>
              <w:bottom w:val="single" w:sz="2" w:space="0" w:color="auto"/>
              <w:right w:val="single" w:sz="2" w:space="0" w:color="auto"/>
            </w:tcBorders>
            <w:shd w:val="clear" w:color="auto" w:fill="auto"/>
            <w:vAlign w:val="center"/>
          </w:tcPr>
          <w:p w14:paraId="3F80E93E" w14:textId="77777777" w:rsidR="00674E35" w:rsidRPr="001032C5" w:rsidRDefault="00674E35" w:rsidP="004913E4">
            <w:pPr>
              <w:widowControl w:val="0"/>
              <w:suppressAutoHyphens w:val="0"/>
              <w:autoSpaceDE w:val="0"/>
              <w:autoSpaceDN w:val="0"/>
              <w:snapToGrid w:val="0"/>
              <w:spacing w:after="0" w:line="276" w:lineRule="auto"/>
              <w:rPr>
                <w:rFonts w:eastAsia="Calibri"/>
                <w:sz w:val="18"/>
                <w:szCs w:val="18"/>
                <w:lang w:val="el-GR" w:eastAsia="en-US"/>
              </w:rPr>
            </w:pPr>
          </w:p>
        </w:tc>
        <w:tc>
          <w:tcPr>
            <w:tcW w:w="556" w:type="pct"/>
            <w:tcBorders>
              <w:top w:val="single" w:sz="2" w:space="0" w:color="auto"/>
              <w:left w:val="single" w:sz="2" w:space="0" w:color="auto"/>
              <w:bottom w:val="single" w:sz="2" w:space="0" w:color="auto"/>
              <w:right w:val="single" w:sz="2" w:space="0" w:color="auto"/>
            </w:tcBorders>
            <w:shd w:val="clear" w:color="auto" w:fill="auto"/>
          </w:tcPr>
          <w:p w14:paraId="4F80D5F3"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sz w:val="18"/>
                <w:szCs w:val="18"/>
                <w:lang w:val="el-GR" w:eastAsia="en-US"/>
              </w:rPr>
            </w:pPr>
          </w:p>
        </w:tc>
        <w:tc>
          <w:tcPr>
            <w:tcW w:w="1320" w:type="pct"/>
            <w:tcBorders>
              <w:top w:val="single" w:sz="2" w:space="0" w:color="auto"/>
              <w:left w:val="single" w:sz="2" w:space="0" w:color="auto"/>
              <w:bottom w:val="single" w:sz="2" w:space="0" w:color="auto"/>
              <w:right w:val="single" w:sz="2" w:space="0" w:color="auto"/>
            </w:tcBorders>
            <w:shd w:val="clear" w:color="auto" w:fill="auto"/>
          </w:tcPr>
          <w:p w14:paraId="1C9CB0BC" w14:textId="77777777" w:rsidR="00674E35" w:rsidRPr="001032C5" w:rsidRDefault="00674E35" w:rsidP="004913E4">
            <w:pPr>
              <w:widowControl w:val="0"/>
              <w:suppressAutoHyphens w:val="0"/>
              <w:autoSpaceDE w:val="0"/>
              <w:autoSpaceDN w:val="0"/>
              <w:snapToGrid w:val="0"/>
              <w:spacing w:after="0" w:line="276" w:lineRule="auto"/>
              <w:jc w:val="center"/>
              <w:rPr>
                <w:rFonts w:eastAsia="Calibri"/>
                <w:sz w:val="18"/>
                <w:szCs w:val="18"/>
                <w:lang w:val="el-GR" w:eastAsia="en-US"/>
              </w:rPr>
            </w:pPr>
          </w:p>
        </w:tc>
      </w:tr>
    </w:tbl>
    <w:p w14:paraId="7EBD747A" w14:textId="77777777" w:rsidR="00674E35" w:rsidRPr="007B7A24" w:rsidRDefault="00674E35" w:rsidP="00674E35">
      <w:pPr>
        <w:widowControl w:val="0"/>
        <w:suppressAutoHyphens w:val="0"/>
        <w:autoSpaceDE w:val="0"/>
        <w:autoSpaceDN w:val="0"/>
        <w:spacing w:after="0" w:line="276" w:lineRule="auto"/>
        <w:rPr>
          <w:rFonts w:eastAsia="Tahoma" w:cs="Tahoma"/>
          <w:b/>
          <w:bCs/>
          <w:sz w:val="28"/>
          <w:szCs w:val="28"/>
          <w:lang w:val="el-GR" w:eastAsia="en-US"/>
        </w:rPr>
      </w:pPr>
    </w:p>
    <w:p w14:paraId="65A38FA8" w14:textId="77777777" w:rsidR="00CA5CB4" w:rsidRDefault="00CA5CB4"/>
    <w:sectPr w:rsidR="00CA5C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B4"/>
    <w:rsid w:val="00674E35"/>
    <w:rsid w:val="00CA5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749D"/>
  <w15:chartTrackingRefBased/>
  <w15:docId w15:val="{2F02C161-2768-4A0C-B8A6-D955B223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E35"/>
    <w:pPr>
      <w:suppressAutoHyphens/>
      <w:spacing w:after="120" w:line="240" w:lineRule="auto"/>
      <w:jc w:val="both"/>
    </w:pPr>
    <w:rPr>
      <w:rFonts w:ascii="Calibri" w:eastAsia="Times New Roman" w:hAnsi="Calibri" w:cs="Calibri"/>
      <w:szCs w:val="24"/>
      <w:lang w:val="en-GB" w:eastAsia="ar-SA"/>
    </w:rPr>
  </w:style>
  <w:style w:type="paragraph" w:styleId="1">
    <w:name w:val="heading 1"/>
    <w:aliases w:val="1. Επικεφαλίδα,BMS Heading 1,H1,H1 Char,H11,H12,H13,H14,H15,H16,H17,Head 1,Head 1 (Chapter heading),Head 11,Head 111,Head 112,Head 113,Head 12,Head 13,Head 14,Head1,Header1,Heading 1-ERI,Heading apps,Level 1 Topic Heading,Outline1,h1,l1"/>
    <w:basedOn w:val="a"/>
    <w:next w:val="a"/>
    <w:link w:val="1Char"/>
    <w:uiPriority w:val="9"/>
    <w:qFormat/>
    <w:rsid w:val="00674E35"/>
    <w:pPr>
      <w:keepNext/>
      <w:pageBreakBefore/>
      <w:pBdr>
        <w:bottom w:val="single" w:sz="20" w:space="1" w:color="000080"/>
      </w:pBdr>
      <w:spacing w:before="320" w:after="160"/>
      <w:outlineLvl w:val="0"/>
    </w:pPr>
    <w:rPr>
      <w:rFonts w:cs="Arial"/>
      <w:b/>
      <w:bCs/>
      <w:color w:val="333399"/>
      <w:sz w:val="28"/>
      <w:szCs w:val="32"/>
      <w:lang w:val="en-US"/>
    </w:rPr>
  </w:style>
  <w:style w:type="paragraph" w:styleId="2">
    <w:name w:val="heading 2"/>
    <w:aliases w:val="2,2. Επικεφαλίδα,H2,H21,H211,H2111,H21111,H2112,H2113,H2114,H2115,H212,H2121,H2122,H213,H214,H215,H216,H22,H221,H2211,H222,H223,H224,H225,H23,H231,H232,H24,H241,H25,H26,H27,H28,H2Normal,Header 2,Heading 2 M,Heading 2- no#,Heading Bug"/>
    <w:basedOn w:val="1"/>
    <w:next w:val="a"/>
    <w:link w:val="2Char"/>
    <w:uiPriority w:val="99"/>
    <w:qFormat/>
    <w:rsid w:val="00674E3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4E35"/>
    <w:rPr>
      <w:rFonts w:ascii="Calibri" w:eastAsia="Times New Roman" w:hAnsi="Calibri" w:cs="Arial"/>
      <w:b/>
      <w:bCs/>
      <w:color w:val="333399"/>
      <w:sz w:val="28"/>
      <w:szCs w:val="32"/>
      <w:lang w:val="en-US" w:eastAsia="ar-SA"/>
    </w:rPr>
  </w:style>
  <w:style w:type="character" w:customStyle="1" w:styleId="2Char">
    <w:name w:val="Επικεφαλίδα 2 Char"/>
    <w:basedOn w:val="a0"/>
    <w:link w:val="2"/>
    <w:uiPriority w:val="99"/>
    <w:rsid w:val="00674E35"/>
    <w:rPr>
      <w:rFonts w:ascii="Calibri" w:eastAsia="Times New Roman" w:hAnsi="Calibri" w:cs="Arial"/>
      <w:b/>
      <w:color w:val="002060"/>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3882</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ΧΑΡΙΚΛΕΙΑ ΓΛΥΝΟΥ</dc:creator>
  <cp:keywords/>
  <dc:description/>
  <cp:lastModifiedBy>ΧΑΡΙΚΛΕΙΑ ΓΛΥΝΟΥ</cp:lastModifiedBy>
  <cp:revision>2</cp:revision>
  <dcterms:created xsi:type="dcterms:W3CDTF">2025-06-30T04:59:00Z</dcterms:created>
  <dcterms:modified xsi:type="dcterms:W3CDTF">2025-06-30T05:00:00Z</dcterms:modified>
</cp:coreProperties>
</file>