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:rsidTr="009673D7">
        <w:tc>
          <w:tcPr>
            <w:tcW w:w="9640" w:type="dxa"/>
          </w:tcPr>
          <w:p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="00452462">
        <w:rPr>
          <w:rFonts w:ascii="Franklin Gothic Medium" w:hAnsi="Franklin Gothic Medium"/>
          <w:lang w:val="en-US"/>
        </w:rPr>
        <w:t>07</w:t>
      </w:r>
      <w:r w:rsidRPr="00962CA7">
        <w:rPr>
          <w:rFonts w:ascii="Franklin Gothic Medium" w:hAnsi="Franklin Gothic Medium"/>
        </w:rPr>
        <w:t xml:space="preserve"> </w:t>
      </w:r>
      <w:r w:rsidR="00452462">
        <w:rPr>
          <w:rFonts w:ascii="Franklin Gothic Medium" w:hAnsi="Franklin Gothic Medium"/>
        </w:rPr>
        <w:t>Οκτωβρ</w:t>
      </w:r>
      <w:r w:rsidR="00452462" w:rsidRPr="00962CA7">
        <w:rPr>
          <w:rFonts w:ascii="Franklin Gothic Medium" w:hAnsi="Franklin Gothic Medium"/>
        </w:rPr>
        <w:t>ίου</w:t>
      </w:r>
      <w:r w:rsidRPr="00E33225">
        <w:rPr>
          <w:rFonts w:ascii="Franklin Gothic Medium" w:hAnsi="Franklin Gothic Medium"/>
        </w:rPr>
        <w:t xml:space="preserve"> 2024</w:t>
      </w:r>
    </w:p>
    <w:p w:rsidR="008C55EA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727DB1" w:rsidRPr="00E33225" w:rsidRDefault="00727DB1" w:rsidP="00727DB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A655D5" w:rsidRDefault="00A655D5" w:rsidP="004645A5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Cs w:val="28"/>
          <w:lang w:eastAsia="en-US"/>
        </w:rPr>
      </w:pPr>
    </w:p>
    <w:p w:rsidR="00452462" w:rsidRDefault="00452462" w:rsidP="00452462">
      <w:pPr>
        <w:autoSpaceDE w:val="0"/>
        <w:autoSpaceDN w:val="0"/>
        <w:adjustRightInd w:val="0"/>
        <w:spacing w:before="120" w:after="240" w:line="276" w:lineRule="auto"/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</w:pPr>
      <w:r w:rsidRPr="00452462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ΑΑΔΕ: Πλήρης εκκαθάριση του τοπίου για τις ρυθμίσεις χρεών </w:t>
      </w:r>
    </w:p>
    <w:p w:rsid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bookmarkStart w:id="0" w:name="_GoBack"/>
      <w:bookmarkEnd w:id="0"/>
      <w:r w:rsidRPr="00452462">
        <w:rPr>
          <w:rFonts w:ascii="Franklin Gothic Medium" w:hAnsi="Franklin Gothic Medium" w:cs="Calibri"/>
          <w:lang w:eastAsia="en-US"/>
        </w:rPr>
        <w:t xml:space="preserve">Στην πλήρη εκκαθάριση του τοπίου, σε ό,τι αφορά τις ρυθμίσεις για χρέη προς το Δημόσιο, προχώρησε η Ανεξάρτητη Αρχή Δημοσίων Εσόδων. 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 xml:space="preserve">Πιο συγκεκριμένα, ολοκληρώθηκε η εφαρμογή του άρθρου 87 του νέου  Κώδικα </w:t>
      </w:r>
      <w:proofErr w:type="spellStart"/>
      <w:r w:rsidRPr="00452462">
        <w:rPr>
          <w:rFonts w:ascii="Franklin Gothic Medium" w:hAnsi="Franklin Gothic Medium" w:cs="Calibri"/>
          <w:lang w:eastAsia="en-US"/>
        </w:rPr>
        <w:t>Φορολογικης</w:t>
      </w:r>
      <w:proofErr w:type="spellEnd"/>
      <w:r w:rsidRPr="00452462">
        <w:rPr>
          <w:rFonts w:ascii="Franklin Gothic Medium" w:hAnsi="Franklin Gothic Medium" w:cs="Calibri"/>
          <w:lang w:eastAsia="en-US"/>
        </w:rPr>
        <w:t xml:space="preserve"> Διαδικασίας (Ν. 5104/2024), το οποίο έδωσε, με την πληρωμή όλων των ανεξόφλητων δόσεων, την ευκαιρία αναβίωσης ρυθμίσεων, που είχαν </w:t>
      </w:r>
      <w:proofErr w:type="spellStart"/>
      <w:r w:rsidRPr="00452462">
        <w:rPr>
          <w:rFonts w:ascii="Franklin Gothic Medium" w:hAnsi="Franklin Gothic Medium" w:cs="Calibri"/>
          <w:lang w:eastAsia="en-US"/>
        </w:rPr>
        <w:t>απωλεσθεί</w:t>
      </w:r>
      <w:proofErr w:type="spellEnd"/>
      <w:r w:rsidRPr="00452462">
        <w:rPr>
          <w:rFonts w:ascii="Franklin Gothic Medium" w:hAnsi="Franklin Gothic Medium" w:cs="Calibri"/>
          <w:lang w:eastAsia="en-US"/>
        </w:rPr>
        <w:t xml:space="preserve">. Δηλαδή,  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 xml:space="preserve">- Την πίστωση τυχόν επιστροφών στο χρέος της ρύθμισης, ή 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>- Την αποπληρωμή του ρυθμισμένου χρέους σε καθυστέρηση έως 31 Μαρτίου 2024 και τη συνέχιση της ρύθμισης, ή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>- Την απώλεια της ρύθμισης.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 xml:space="preserve">Από την εφαρμογή της διαδικασίας προέκυψαν τα εξής: 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 xml:space="preserve">- συμψηφίστηκαν με τις εν λόγω ρυθμίσεις, καταβολές των φορολογουμένων συνολικού ποσού 47,5 εκατομμυρίων ευρώ   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>- 22.000 ρυθμισμένα ποσά εξοφλήθηκαν πλήρως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>- 25.000 ρυθμίσεις, συνολικού ποσού 125 εκατομμυρίων ευρώ, κατέστησαν ενήμερες και συνεχίζουν να ισχύουν και να εξυπηρετούνται.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>Για τους φορολογούμενους που δεν ανταποκρίθηκαν στην ευκαιρία που έδωσε το άρθρο 87 του Κώδικα Φορολογικής Διαδικασίας ολοκληρώθηκε η τυπική απώλεια 213.000 ρυθμίσεων, οι οποίες δεν εξυπηρετούνταν και είχαν καταστεί στην ουσία ανενεργές. Πλέον οι ρυθμίσεις αυτές έγιναν και τυπικά μη ενεργές.</w:t>
      </w:r>
    </w:p>
    <w:p w:rsidR="00452462" w:rsidRPr="00452462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</w:p>
    <w:p w:rsidR="00A655D5" w:rsidRPr="00A655D5" w:rsidRDefault="00452462" w:rsidP="00452462">
      <w:pPr>
        <w:spacing w:before="120" w:after="120" w:line="276" w:lineRule="auto"/>
        <w:jc w:val="both"/>
        <w:rPr>
          <w:rFonts w:ascii="Franklin Gothic Medium" w:hAnsi="Franklin Gothic Medium" w:cs="Calibri"/>
          <w:lang w:eastAsia="en-US"/>
        </w:rPr>
      </w:pPr>
      <w:r w:rsidRPr="00452462">
        <w:rPr>
          <w:rFonts w:ascii="Franklin Gothic Medium" w:hAnsi="Franklin Gothic Medium" w:cs="Calibri"/>
          <w:lang w:eastAsia="en-US"/>
        </w:rPr>
        <w:t xml:space="preserve">Υπενθυμίζεται ότι το μέτρο δεν έχει γενικό χαρακτήρα και αφορά ρυθμίσεις των 36/72,100,120 δόσεων ή πάγιες ρυθμίσεις των 24 ή 48 δόσεων, που δεν είχαν </w:t>
      </w:r>
      <w:proofErr w:type="spellStart"/>
      <w:r w:rsidRPr="00452462">
        <w:rPr>
          <w:rFonts w:ascii="Franklin Gothic Medium" w:hAnsi="Franklin Gothic Medium" w:cs="Calibri"/>
          <w:lang w:eastAsia="en-US"/>
        </w:rPr>
        <w:lastRenderedPageBreak/>
        <w:t>απωλεσθεί</w:t>
      </w:r>
      <w:proofErr w:type="spellEnd"/>
      <w:r w:rsidRPr="00452462">
        <w:rPr>
          <w:rFonts w:ascii="Franklin Gothic Medium" w:hAnsi="Franklin Gothic Medium" w:cs="Calibri"/>
          <w:lang w:eastAsia="en-US"/>
        </w:rPr>
        <w:t xml:space="preserve"> με πράξη του προϊσταμένου της ΔΟΥ, αλλά βρίσκονταν  σε μια «γκρίζα ζώνη», καθώς ούτε ενεργές ήταν αλλά ούτε και είχαν κλείσει.</w:t>
      </w:r>
    </w:p>
    <w:sectPr w:rsidR="00A655D5" w:rsidRPr="00A655D5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D75"/>
    <w:multiLevelType w:val="hybridMultilevel"/>
    <w:tmpl w:val="A4DE6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626"/>
    <w:multiLevelType w:val="hybridMultilevel"/>
    <w:tmpl w:val="0B840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7404"/>
    <w:multiLevelType w:val="hybridMultilevel"/>
    <w:tmpl w:val="575CC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5D34"/>
    <w:multiLevelType w:val="hybridMultilevel"/>
    <w:tmpl w:val="7790622E"/>
    <w:lvl w:ilvl="0" w:tplc="72720E28"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7E2F47"/>
    <w:multiLevelType w:val="hybridMultilevel"/>
    <w:tmpl w:val="F474B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72F26"/>
    <w:multiLevelType w:val="hybridMultilevel"/>
    <w:tmpl w:val="FF02B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517FE"/>
    <w:multiLevelType w:val="hybridMultilevel"/>
    <w:tmpl w:val="3264B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401FC"/>
    <w:rsid w:val="00043D02"/>
    <w:rsid w:val="000828BE"/>
    <w:rsid w:val="000B2E52"/>
    <w:rsid w:val="00180E11"/>
    <w:rsid w:val="001873B6"/>
    <w:rsid w:val="001D7609"/>
    <w:rsid w:val="001F7F78"/>
    <w:rsid w:val="00231BC9"/>
    <w:rsid w:val="002C61C7"/>
    <w:rsid w:val="00312E35"/>
    <w:rsid w:val="00437FB3"/>
    <w:rsid w:val="00452462"/>
    <w:rsid w:val="004645A5"/>
    <w:rsid w:val="004841B8"/>
    <w:rsid w:val="00496304"/>
    <w:rsid w:val="004D6F2A"/>
    <w:rsid w:val="00515503"/>
    <w:rsid w:val="005811C5"/>
    <w:rsid w:val="00586594"/>
    <w:rsid w:val="00594B87"/>
    <w:rsid w:val="005A470D"/>
    <w:rsid w:val="005A5234"/>
    <w:rsid w:val="005B7017"/>
    <w:rsid w:val="005B7DDD"/>
    <w:rsid w:val="005D4FF0"/>
    <w:rsid w:val="005E1215"/>
    <w:rsid w:val="005E6D27"/>
    <w:rsid w:val="005F2CEF"/>
    <w:rsid w:val="0060760E"/>
    <w:rsid w:val="006264EE"/>
    <w:rsid w:val="00704935"/>
    <w:rsid w:val="00704EF8"/>
    <w:rsid w:val="00727DB1"/>
    <w:rsid w:val="0075124E"/>
    <w:rsid w:val="00774250"/>
    <w:rsid w:val="00783A7D"/>
    <w:rsid w:val="007A2179"/>
    <w:rsid w:val="007A5BB0"/>
    <w:rsid w:val="007D4738"/>
    <w:rsid w:val="007F624D"/>
    <w:rsid w:val="008071DF"/>
    <w:rsid w:val="008A1EE6"/>
    <w:rsid w:val="008C55EA"/>
    <w:rsid w:val="008E7FA4"/>
    <w:rsid w:val="00962CA7"/>
    <w:rsid w:val="00981026"/>
    <w:rsid w:val="0098231F"/>
    <w:rsid w:val="00A26FCC"/>
    <w:rsid w:val="00A27162"/>
    <w:rsid w:val="00A526CA"/>
    <w:rsid w:val="00A655D5"/>
    <w:rsid w:val="00A665BB"/>
    <w:rsid w:val="00A749AE"/>
    <w:rsid w:val="00AC43A4"/>
    <w:rsid w:val="00B4056F"/>
    <w:rsid w:val="00B761C0"/>
    <w:rsid w:val="00BC3B8E"/>
    <w:rsid w:val="00C0023F"/>
    <w:rsid w:val="00C51D2B"/>
    <w:rsid w:val="00C5356A"/>
    <w:rsid w:val="00CD6D1F"/>
    <w:rsid w:val="00D161DA"/>
    <w:rsid w:val="00D2207A"/>
    <w:rsid w:val="00DB368E"/>
    <w:rsid w:val="00DE43B0"/>
    <w:rsid w:val="00E3135B"/>
    <w:rsid w:val="00E3217E"/>
    <w:rsid w:val="00E8166F"/>
    <w:rsid w:val="00EB34C3"/>
    <w:rsid w:val="00F733C2"/>
    <w:rsid w:val="00FA3E6C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6C5B"/>
  <w15:docId w15:val="{B7CF8991-D286-40F2-A7E2-3A86BA4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styleId="a9">
    <w:name w:val="Plain Text"/>
    <w:basedOn w:val="a"/>
    <w:link w:val="Char2"/>
    <w:uiPriority w:val="99"/>
    <w:unhideWhenUsed/>
    <w:rsid w:val="005B7DDD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9"/>
    <w:uiPriority w:val="99"/>
    <w:rsid w:val="005B7DDD"/>
    <w:rPr>
      <w:rFonts w:ascii="Calibri" w:hAnsi="Calibri"/>
      <w:szCs w:val="21"/>
    </w:rPr>
  </w:style>
  <w:style w:type="table" w:styleId="aa">
    <w:name w:val="Table Grid"/>
    <w:basedOn w:val="a1"/>
    <w:uiPriority w:val="59"/>
    <w:rsid w:val="005B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D5CD-910B-4DB1-90AB-526439E6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Ελπιδα Καϊμακη</cp:lastModifiedBy>
  <cp:revision>2</cp:revision>
  <cp:lastPrinted>2023-09-18T09:55:00Z</cp:lastPrinted>
  <dcterms:created xsi:type="dcterms:W3CDTF">2024-10-07T17:14:00Z</dcterms:created>
  <dcterms:modified xsi:type="dcterms:W3CDTF">2024-10-07T17:14:00Z</dcterms:modified>
</cp:coreProperties>
</file>