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D4" w:rsidRPr="006B2C94" w:rsidRDefault="006D3AD4" w:rsidP="006D3AD4">
      <w:pPr>
        <w:pStyle w:val="2"/>
        <w:tabs>
          <w:tab w:val="clear" w:pos="567"/>
          <w:tab w:val="left" w:pos="0"/>
        </w:tabs>
        <w:ind w:left="0" w:firstLine="0"/>
        <w:rPr>
          <w:lang w:val="el-GR"/>
        </w:rPr>
      </w:pPr>
      <w:bookmarkStart w:id="0" w:name="_Toc114575815"/>
      <w:r>
        <w:rPr>
          <w:rFonts w:ascii="Calibri" w:hAnsi="Calibri"/>
          <w:lang w:val="el-GR"/>
        </w:rPr>
        <w:t xml:space="preserve">ΠΑΡΑΡΤΗΜΑ </w:t>
      </w:r>
      <w:r>
        <w:rPr>
          <w:rFonts w:ascii="Calibri" w:hAnsi="Calibri"/>
          <w:lang w:val="en-US"/>
        </w:rPr>
        <w:t>V</w:t>
      </w:r>
      <w:r>
        <w:rPr>
          <w:rFonts w:ascii="Calibri" w:hAnsi="Calibri"/>
          <w:lang w:val="el-GR"/>
        </w:rPr>
        <w:t>ΙΙ</w:t>
      </w:r>
      <w:r>
        <w:rPr>
          <w:rFonts w:ascii="Calibri" w:hAnsi="Calibri"/>
          <w:lang w:val="en-US"/>
        </w:rPr>
        <w:t>I</w:t>
      </w:r>
      <w:r>
        <w:rPr>
          <w:rFonts w:ascii="Calibri" w:hAnsi="Calibri"/>
          <w:lang w:val="el-GR"/>
        </w:rPr>
        <w:t xml:space="preserve"> –  Πίνακας Συμμόρφωσης</w:t>
      </w:r>
      <w:bookmarkEnd w:id="0"/>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51"/>
        <w:gridCol w:w="1700"/>
        <w:gridCol w:w="1526"/>
        <w:gridCol w:w="1606"/>
      </w:tblGrid>
      <w:tr w:rsidR="006D3AD4" w:rsidRPr="00652220" w:rsidTr="00882818">
        <w:trPr>
          <w:trHeight w:val="435"/>
        </w:trPr>
        <w:tc>
          <w:tcPr>
            <w:tcW w:w="4866" w:type="dxa"/>
            <w:gridSpan w:val="3"/>
            <w:shd w:val="clear" w:color="auto" w:fill="auto"/>
            <w:vAlign w:val="center"/>
          </w:tcPr>
          <w:p w:rsidR="006D3AD4" w:rsidRPr="00652220" w:rsidRDefault="006D3AD4" w:rsidP="00882818">
            <w:pPr>
              <w:jc w:val="center"/>
              <w:rPr>
                <w:b/>
              </w:rPr>
            </w:pPr>
            <w:r w:rsidRPr="00652220">
              <w:rPr>
                <w:b/>
              </w:rPr>
              <w:t>ΠΕΡΙΓΡΑΦΗ</w:t>
            </w:r>
          </w:p>
        </w:tc>
        <w:tc>
          <w:tcPr>
            <w:tcW w:w="1700" w:type="dxa"/>
            <w:shd w:val="clear" w:color="auto" w:fill="auto"/>
            <w:vAlign w:val="center"/>
          </w:tcPr>
          <w:p w:rsidR="006D3AD4" w:rsidRPr="00652220" w:rsidRDefault="006D3AD4" w:rsidP="00882818">
            <w:pPr>
              <w:jc w:val="center"/>
              <w:rPr>
                <w:b/>
              </w:rPr>
            </w:pPr>
            <w:r w:rsidRPr="00652220">
              <w:rPr>
                <w:b/>
              </w:rPr>
              <w:t>ΥΠΟΧΡΕΩΤΙΚΗ ΑΠΑΝΤΗΣΗ</w:t>
            </w:r>
          </w:p>
        </w:tc>
        <w:tc>
          <w:tcPr>
            <w:tcW w:w="1526" w:type="dxa"/>
            <w:shd w:val="clear" w:color="auto" w:fill="auto"/>
            <w:vAlign w:val="center"/>
          </w:tcPr>
          <w:p w:rsidR="006D3AD4" w:rsidRPr="00652220" w:rsidRDefault="006D3AD4" w:rsidP="00882818">
            <w:pPr>
              <w:jc w:val="center"/>
              <w:rPr>
                <w:b/>
              </w:rPr>
            </w:pPr>
            <w:r w:rsidRPr="00652220">
              <w:rPr>
                <w:b/>
              </w:rPr>
              <w:t>ΑΠΑΝΤΗΣΗ ΥΠΟΨΗΦΙΟΥ</w:t>
            </w:r>
          </w:p>
        </w:tc>
        <w:tc>
          <w:tcPr>
            <w:tcW w:w="1606" w:type="dxa"/>
            <w:shd w:val="clear" w:color="auto" w:fill="auto"/>
            <w:vAlign w:val="center"/>
          </w:tcPr>
          <w:p w:rsidR="006D3AD4" w:rsidRPr="00652220" w:rsidRDefault="006D3AD4" w:rsidP="00882818">
            <w:pPr>
              <w:jc w:val="center"/>
              <w:rPr>
                <w:b/>
              </w:rPr>
            </w:pPr>
            <w:r w:rsidRPr="00652220">
              <w:rPr>
                <w:b/>
              </w:rPr>
              <w:t>ΠΑΡΑΠΟΜΠΗ</w:t>
            </w:r>
          </w:p>
        </w:tc>
      </w:tr>
      <w:tr w:rsidR="006D3AD4" w:rsidRPr="003950F1" w:rsidTr="00882818">
        <w:trPr>
          <w:trHeight w:val="435"/>
        </w:trPr>
        <w:tc>
          <w:tcPr>
            <w:tcW w:w="9698" w:type="dxa"/>
            <w:gridSpan w:val="6"/>
            <w:shd w:val="clear" w:color="auto" w:fill="auto"/>
          </w:tcPr>
          <w:p w:rsidR="006D3AD4" w:rsidRPr="003950F1" w:rsidRDefault="006D3AD4" w:rsidP="00882818">
            <w:pPr>
              <w:spacing w:before="120"/>
              <w:rPr>
                <w:b/>
                <w:lang w:val="el-GR"/>
              </w:rPr>
            </w:pPr>
            <w:r w:rsidRPr="003950F1">
              <w:rPr>
                <w:b/>
                <w:lang w:val="el-GR"/>
              </w:rPr>
              <w:t>Α. Αρχιτεκτονική του πληροφοριακού συστήματος</w:t>
            </w:r>
          </w:p>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t>1.</w:t>
            </w:r>
          </w:p>
        </w:tc>
        <w:tc>
          <w:tcPr>
            <w:tcW w:w="4259" w:type="dxa"/>
            <w:shd w:val="clear" w:color="auto" w:fill="auto"/>
          </w:tcPr>
          <w:p w:rsidR="006D3AD4" w:rsidRPr="003950F1" w:rsidRDefault="006D3AD4" w:rsidP="00882818">
            <w:pPr>
              <w:rPr>
                <w:b/>
                <w:lang w:val="el-GR"/>
              </w:rPr>
            </w:pPr>
            <w:r w:rsidRPr="003950F1">
              <w:rPr>
                <w:b/>
                <w:lang w:val="el-GR"/>
              </w:rPr>
              <w:t>Φυσική Αρχιτεκτονική</w:t>
            </w:r>
          </w:p>
          <w:p w:rsidR="006D3AD4" w:rsidRPr="00AB2733" w:rsidRDefault="006D3AD4" w:rsidP="00882818">
            <w:pPr>
              <w:rPr>
                <w:lang w:val="el-GR"/>
              </w:rPr>
            </w:pPr>
            <w:r w:rsidRPr="003950F1">
              <w:rPr>
                <w:lang w:val="el-GR"/>
              </w:rPr>
              <w:t>Συμμόρφωση με τις προδιαγραφές και τις διαθέσιμες υποδομές και άδειες, όπως περιγράφονται στο Παράρτημα Ι, §2.6 «Αρχιτεκτονική-Περιβάλλον ανάπτυξης και εγκατάστασης του συστήματος»  και τα Παραρτήματα ΙΙ</w:t>
            </w:r>
            <w:r>
              <w:rPr>
                <w:lang w:val="el-GR"/>
              </w:rPr>
              <w:t>Ι</w:t>
            </w:r>
            <w:r w:rsidRPr="003950F1">
              <w:rPr>
                <w:lang w:val="el-GR"/>
              </w:rPr>
              <w:t xml:space="preserve"> «Περιγραφή υποδομής </w:t>
            </w:r>
            <w:r w:rsidRPr="00652220">
              <w:t>on</w:t>
            </w:r>
            <w:r w:rsidRPr="003950F1">
              <w:rPr>
                <w:lang w:val="el-GR"/>
              </w:rPr>
              <w:t>-</w:t>
            </w:r>
            <w:r w:rsidRPr="00652220">
              <w:t>premise</w:t>
            </w:r>
            <w:r w:rsidRPr="003950F1">
              <w:rPr>
                <w:lang w:val="el-GR"/>
              </w:rPr>
              <w:t xml:space="preserve"> Υπολογιστικού Νέφους της ΓΓΠΣΔΔ» και Ι</w:t>
            </w:r>
            <w:r>
              <w:rPr>
                <w:lang w:val="en-US"/>
              </w:rPr>
              <w:t>V</w:t>
            </w:r>
            <w:r w:rsidRPr="003950F1">
              <w:rPr>
                <w:lang w:val="el-GR"/>
              </w:rPr>
              <w:t xml:space="preserve">. </w:t>
            </w:r>
            <w:r w:rsidRPr="00AB2733">
              <w:rPr>
                <w:lang w:val="el-GR"/>
              </w:rPr>
              <w:t>«Περιγραφή υποδομής Δημοσίου Υπολογιστικού Νέφους της ΓΓΠΣΔΔ (</w:t>
            </w:r>
            <w:r w:rsidRPr="00652220">
              <w:t>Microsoft</w:t>
            </w:r>
            <w:r w:rsidRPr="00AB2733">
              <w:rPr>
                <w:lang w:val="el-GR"/>
              </w:rPr>
              <w:t xml:space="preserve"> </w:t>
            </w:r>
            <w:r w:rsidRPr="00652220">
              <w:t>Azure</w:t>
            </w:r>
            <w:r w:rsidRPr="00AB2733">
              <w:rPr>
                <w:lang w:val="el-GR"/>
              </w:rPr>
              <w:t>)»</w:t>
            </w:r>
          </w:p>
        </w:tc>
        <w:tc>
          <w:tcPr>
            <w:tcW w:w="1751" w:type="dxa"/>
            <w:gridSpan w:val="2"/>
            <w:shd w:val="clear" w:color="auto" w:fill="auto"/>
          </w:tcPr>
          <w:p w:rsidR="006D3AD4" w:rsidRPr="00AB2733" w:rsidRDefault="006D3AD4" w:rsidP="00882818">
            <w:pPr>
              <w:jc w:val="center"/>
              <w:rPr>
                <w:lang w:val="el-GR"/>
              </w:rPr>
            </w:pPr>
          </w:p>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E01797" w:rsidTr="00882818">
        <w:trPr>
          <w:trHeight w:val="267"/>
        </w:trPr>
        <w:tc>
          <w:tcPr>
            <w:tcW w:w="556" w:type="dxa"/>
            <w:shd w:val="clear" w:color="auto" w:fill="auto"/>
            <w:vAlign w:val="center"/>
          </w:tcPr>
          <w:p w:rsidR="006D3AD4" w:rsidRPr="00AB2733" w:rsidRDefault="006D3AD4" w:rsidP="00882818">
            <w:pPr>
              <w:jc w:val="center"/>
              <w:rPr>
                <w:lang w:val="el-GR"/>
              </w:rPr>
            </w:pPr>
            <w:r>
              <w:rPr>
                <w:lang w:val="el-GR"/>
              </w:rPr>
              <w:t>2</w:t>
            </w:r>
          </w:p>
        </w:tc>
        <w:tc>
          <w:tcPr>
            <w:tcW w:w="4259" w:type="dxa"/>
            <w:shd w:val="clear" w:color="auto" w:fill="auto"/>
          </w:tcPr>
          <w:p w:rsidR="006D3AD4" w:rsidRPr="00AB2733" w:rsidRDefault="006D3AD4" w:rsidP="00882818">
            <w:pPr>
              <w:rPr>
                <w:lang w:val="el-GR"/>
              </w:rPr>
            </w:pPr>
            <w:r w:rsidRPr="00AB2733">
              <w:rPr>
                <w:lang w:val="el-GR"/>
              </w:rPr>
              <w:t xml:space="preserve">Συμπλήρωση των </w:t>
            </w:r>
            <w:r>
              <w:rPr>
                <w:lang w:val="el-GR"/>
              </w:rPr>
              <w:t xml:space="preserve">Πινάκων της </w:t>
            </w:r>
            <w:r w:rsidRPr="003950F1">
              <w:rPr>
                <w:lang w:val="el-GR"/>
              </w:rPr>
              <w:t>§2.6</w:t>
            </w:r>
            <w:r>
              <w:rPr>
                <w:lang w:val="el-GR"/>
              </w:rPr>
              <w:t xml:space="preserve"> του Παραρτήματος Ι</w:t>
            </w:r>
          </w:p>
        </w:tc>
        <w:tc>
          <w:tcPr>
            <w:tcW w:w="1751" w:type="dxa"/>
            <w:gridSpan w:val="2"/>
            <w:shd w:val="clear" w:color="auto" w:fill="auto"/>
          </w:tcPr>
          <w:p w:rsidR="006D3AD4" w:rsidRPr="00E01797" w:rsidRDefault="006D3AD4" w:rsidP="00882818">
            <w:pPr>
              <w:jc w:val="center"/>
              <w:rPr>
                <w:lang w:val="el-GR"/>
              </w:rPr>
            </w:pPr>
            <w:r>
              <w:rPr>
                <w:lang w:val="el-GR"/>
              </w:rPr>
              <w:t>ΝΑΙ</w:t>
            </w:r>
          </w:p>
        </w:tc>
        <w:tc>
          <w:tcPr>
            <w:tcW w:w="1526" w:type="dxa"/>
            <w:shd w:val="clear" w:color="auto" w:fill="auto"/>
          </w:tcPr>
          <w:p w:rsidR="006D3AD4" w:rsidRPr="00E01797" w:rsidRDefault="006D3AD4" w:rsidP="00882818">
            <w:pPr>
              <w:rPr>
                <w:lang w:val="el-GR"/>
              </w:rPr>
            </w:pPr>
          </w:p>
        </w:tc>
        <w:tc>
          <w:tcPr>
            <w:tcW w:w="1606" w:type="dxa"/>
            <w:shd w:val="clear" w:color="auto" w:fill="auto"/>
          </w:tcPr>
          <w:p w:rsidR="006D3AD4" w:rsidRPr="00E01797" w:rsidRDefault="006D3AD4" w:rsidP="00882818">
            <w:pPr>
              <w:rPr>
                <w:lang w:val="el-GR"/>
              </w:rPr>
            </w:pPr>
          </w:p>
        </w:tc>
      </w:tr>
      <w:tr w:rsidR="006D3AD4" w:rsidRPr="00652220" w:rsidTr="00882818">
        <w:trPr>
          <w:trHeight w:val="267"/>
        </w:trPr>
        <w:tc>
          <w:tcPr>
            <w:tcW w:w="9698" w:type="dxa"/>
            <w:gridSpan w:val="6"/>
            <w:shd w:val="clear" w:color="auto" w:fill="auto"/>
            <w:vAlign w:val="center"/>
          </w:tcPr>
          <w:p w:rsidR="006D3AD4" w:rsidRPr="00652220" w:rsidRDefault="006D3AD4" w:rsidP="00882818">
            <w:pPr>
              <w:spacing w:before="120"/>
              <w:rPr>
                <w:b/>
              </w:rPr>
            </w:pPr>
            <w:r w:rsidRPr="00652220">
              <w:rPr>
                <w:b/>
              </w:rPr>
              <w:t xml:space="preserve">Β. </w:t>
            </w:r>
            <w:proofErr w:type="spellStart"/>
            <w:r w:rsidRPr="00652220">
              <w:rPr>
                <w:b/>
              </w:rPr>
              <w:t>Ασφάλει</w:t>
            </w:r>
            <w:proofErr w:type="spellEnd"/>
            <w:r w:rsidRPr="00652220">
              <w:rPr>
                <w:b/>
              </w:rPr>
              <w:t>α</w:t>
            </w:r>
          </w:p>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t>1.</w:t>
            </w:r>
          </w:p>
        </w:tc>
        <w:tc>
          <w:tcPr>
            <w:tcW w:w="4259" w:type="dxa"/>
            <w:shd w:val="clear" w:color="auto" w:fill="auto"/>
          </w:tcPr>
          <w:p w:rsidR="006D3AD4" w:rsidRPr="003950F1" w:rsidRDefault="006D3AD4" w:rsidP="00882818">
            <w:pPr>
              <w:rPr>
                <w:b/>
                <w:lang w:val="el-GR"/>
              </w:rPr>
            </w:pPr>
            <w:r w:rsidRPr="003950F1">
              <w:rPr>
                <w:b/>
                <w:lang w:val="el-GR"/>
              </w:rPr>
              <w:t>Αρχές Ασφάλειας</w:t>
            </w:r>
          </w:p>
          <w:p w:rsidR="006D3AD4" w:rsidRPr="003950F1" w:rsidRDefault="006D3AD4" w:rsidP="00882818">
            <w:pPr>
              <w:rPr>
                <w:lang w:val="el-GR"/>
              </w:rPr>
            </w:pPr>
            <w:r w:rsidRPr="003950F1">
              <w:rPr>
                <w:lang w:val="el-GR"/>
              </w:rPr>
              <w:t>Συμμόρφωση με τις προδιαγραφές και τις διαθέσιμες υποδομές και άδειες, όπως περιγράφονται στο Παράρτημα Ι, §2.7.1 «Αρχές Ασφάλειας»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t>2.</w:t>
            </w:r>
          </w:p>
        </w:tc>
        <w:tc>
          <w:tcPr>
            <w:tcW w:w="4259" w:type="dxa"/>
            <w:shd w:val="clear" w:color="auto" w:fill="auto"/>
          </w:tcPr>
          <w:p w:rsidR="006D3AD4" w:rsidRPr="003950F1" w:rsidRDefault="006D3AD4" w:rsidP="00882818">
            <w:pPr>
              <w:rPr>
                <w:b/>
                <w:lang w:val="el-GR"/>
              </w:rPr>
            </w:pPr>
            <w:r w:rsidRPr="003950F1">
              <w:rPr>
                <w:b/>
                <w:lang w:val="el-GR"/>
              </w:rPr>
              <w:t>Ρήτρες εμπιστευτικότητας</w:t>
            </w:r>
          </w:p>
          <w:p w:rsidR="006D3AD4" w:rsidRPr="003950F1" w:rsidRDefault="006D3AD4" w:rsidP="00882818">
            <w:pPr>
              <w:rPr>
                <w:b/>
                <w:lang w:val="el-GR"/>
              </w:rPr>
            </w:pPr>
            <w:r w:rsidRPr="003950F1">
              <w:rPr>
                <w:lang w:val="el-GR"/>
              </w:rPr>
              <w:t>Συμμόρφωση με τις με τις απαιτήσεις που περιγράφονται στο Παράρτημα Ι, §2.7.2 «Ρήτρες εμπιστευτικότητας Συμβάσεων Έργου»</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t>3.</w:t>
            </w:r>
          </w:p>
        </w:tc>
        <w:tc>
          <w:tcPr>
            <w:tcW w:w="4259" w:type="dxa"/>
            <w:shd w:val="clear" w:color="auto" w:fill="auto"/>
          </w:tcPr>
          <w:p w:rsidR="006D3AD4" w:rsidRPr="003950F1" w:rsidRDefault="006D3AD4" w:rsidP="00882818">
            <w:pPr>
              <w:rPr>
                <w:b/>
                <w:lang w:val="el-GR"/>
              </w:rPr>
            </w:pPr>
            <w:r w:rsidRPr="003950F1">
              <w:rPr>
                <w:b/>
                <w:lang w:val="el-GR"/>
              </w:rPr>
              <w:t>Ασφάλεια Τεχνολογικής Λύσης</w:t>
            </w:r>
          </w:p>
          <w:p w:rsidR="006D3AD4" w:rsidRPr="003950F1" w:rsidRDefault="006D3AD4" w:rsidP="00882818">
            <w:pPr>
              <w:rPr>
                <w:b/>
                <w:lang w:val="el-GR"/>
              </w:rPr>
            </w:pPr>
            <w:r w:rsidRPr="003950F1">
              <w:rPr>
                <w:lang w:val="el-GR"/>
              </w:rPr>
              <w:t>Συμμόρφωση με τις με τις απαιτήσεις που περιγράφονται στο Παράρτημα Ι, §2.7.3 «Σχεδιασμός τεχνολογικής λύσης»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t>4.</w:t>
            </w:r>
          </w:p>
        </w:tc>
        <w:tc>
          <w:tcPr>
            <w:tcW w:w="4259" w:type="dxa"/>
            <w:shd w:val="clear" w:color="auto" w:fill="auto"/>
          </w:tcPr>
          <w:p w:rsidR="006D3AD4" w:rsidRPr="003950F1" w:rsidRDefault="006D3AD4" w:rsidP="00882818">
            <w:pPr>
              <w:rPr>
                <w:b/>
                <w:lang w:val="el-GR"/>
              </w:rPr>
            </w:pPr>
            <w:r w:rsidRPr="003950F1">
              <w:rPr>
                <w:b/>
                <w:lang w:val="el-GR"/>
              </w:rPr>
              <w:t>Μελέτη Ασφάλειας</w:t>
            </w:r>
          </w:p>
          <w:p w:rsidR="006D3AD4" w:rsidRPr="003950F1" w:rsidRDefault="006D3AD4" w:rsidP="00882818">
            <w:pPr>
              <w:rPr>
                <w:b/>
                <w:lang w:val="el-GR"/>
              </w:rPr>
            </w:pPr>
            <w:r w:rsidRPr="003950F1">
              <w:rPr>
                <w:lang w:val="el-GR"/>
              </w:rPr>
              <w:t>Συμμόρφωση με τις με τις απαιτήσεις που περιγράφονται στο Παράρτημα Ι, §2.7.4 «Μελέτη Ασφάλειας»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t>5.</w:t>
            </w:r>
          </w:p>
        </w:tc>
        <w:tc>
          <w:tcPr>
            <w:tcW w:w="4259" w:type="dxa"/>
            <w:shd w:val="clear" w:color="auto" w:fill="auto"/>
          </w:tcPr>
          <w:p w:rsidR="006D3AD4" w:rsidRPr="003950F1" w:rsidRDefault="006D3AD4" w:rsidP="00882818">
            <w:pPr>
              <w:keepNext/>
              <w:rPr>
                <w:b/>
                <w:lang w:val="el-GR"/>
              </w:rPr>
            </w:pPr>
            <w:r w:rsidRPr="003950F1">
              <w:rPr>
                <w:b/>
                <w:lang w:val="el-GR"/>
              </w:rPr>
              <w:t>Αξιολόγηση Ασφάλειας</w:t>
            </w:r>
          </w:p>
          <w:p w:rsidR="006D3AD4" w:rsidRPr="003950F1" w:rsidRDefault="006D3AD4" w:rsidP="00882818">
            <w:pPr>
              <w:keepNext/>
              <w:rPr>
                <w:b/>
                <w:lang w:val="el-GR"/>
              </w:rPr>
            </w:pPr>
            <w:r w:rsidRPr="003950F1">
              <w:rPr>
                <w:lang w:val="el-GR"/>
              </w:rPr>
              <w:t>Συμμόρφωση με τις με τις απαιτήσεις που περιγράφονται στο Παράρτημα Ι, §2.7.5 «Αξιολόγηση Ασφάλειας»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556" w:type="dxa"/>
            <w:shd w:val="clear" w:color="auto" w:fill="auto"/>
            <w:vAlign w:val="center"/>
          </w:tcPr>
          <w:p w:rsidR="006D3AD4" w:rsidRPr="00652220" w:rsidRDefault="006D3AD4" w:rsidP="00882818">
            <w:pPr>
              <w:jc w:val="center"/>
            </w:pPr>
            <w:r w:rsidRPr="00652220">
              <w:lastRenderedPageBreak/>
              <w:t>6.</w:t>
            </w:r>
          </w:p>
        </w:tc>
        <w:tc>
          <w:tcPr>
            <w:tcW w:w="4259" w:type="dxa"/>
            <w:shd w:val="clear" w:color="auto" w:fill="auto"/>
          </w:tcPr>
          <w:p w:rsidR="006D3AD4" w:rsidRPr="003950F1" w:rsidRDefault="006D3AD4" w:rsidP="00882818">
            <w:pPr>
              <w:rPr>
                <w:b/>
                <w:lang w:val="el-GR"/>
              </w:rPr>
            </w:pPr>
            <w:r w:rsidRPr="003950F1">
              <w:rPr>
                <w:b/>
                <w:lang w:val="el-GR"/>
              </w:rPr>
              <w:t>Απαιτήσεις Ασφάλειας στο πλαίσιο της συντήρησης</w:t>
            </w:r>
          </w:p>
          <w:p w:rsidR="006D3AD4" w:rsidRPr="003950F1" w:rsidRDefault="006D3AD4" w:rsidP="00882818">
            <w:pPr>
              <w:rPr>
                <w:b/>
                <w:lang w:val="el-GR"/>
              </w:rPr>
            </w:pPr>
            <w:r w:rsidRPr="003950F1">
              <w:rPr>
                <w:lang w:val="el-GR"/>
              </w:rPr>
              <w:t>Συμμόρφωση με τις απαιτήσεις που περιγράφονται στο Παράρτημα Ι, §2.7.6 «Ελάχιστες απαιτήσεις στο πλαίσιο της συντήρησης»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9698" w:type="dxa"/>
            <w:gridSpan w:val="6"/>
            <w:shd w:val="clear" w:color="auto" w:fill="auto"/>
            <w:vAlign w:val="center"/>
          </w:tcPr>
          <w:p w:rsidR="006D3AD4" w:rsidRPr="00652220" w:rsidRDefault="006D3AD4" w:rsidP="00882818">
            <w:pPr>
              <w:spacing w:before="120"/>
              <w:rPr>
                <w:b/>
              </w:rPr>
            </w:pPr>
            <w:r w:rsidRPr="00652220">
              <w:rPr>
                <w:b/>
              </w:rPr>
              <w:t xml:space="preserve">Γ. </w:t>
            </w:r>
            <w:proofErr w:type="spellStart"/>
            <w:r w:rsidRPr="00652220">
              <w:rPr>
                <w:b/>
              </w:rPr>
              <w:t>Λοι</w:t>
            </w:r>
            <w:proofErr w:type="spellEnd"/>
            <w:r w:rsidRPr="00652220">
              <w:rPr>
                <w:b/>
              </w:rPr>
              <w:t xml:space="preserve">πές </w:t>
            </w:r>
            <w:proofErr w:type="spellStart"/>
            <w:r w:rsidRPr="00652220">
              <w:rPr>
                <w:b/>
              </w:rPr>
              <w:t>Τεχνικές</w:t>
            </w:r>
            <w:proofErr w:type="spellEnd"/>
            <w:r w:rsidRPr="00652220">
              <w:rPr>
                <w:b/>
              </w:rPr>
              <w:t xml:space="preserve"> Απα</w:t>
            </w:r>
            <w:proofErr w:type="spellStart"/>
            <w:r w:rsidRPr="00652220">
              <w:rPr>
                <w:b/>
              </w:rPr>
              <w:t>ιτήσεις</w:t>
            </w:r>
            <w:proofErr w:type="spellEnd"/>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1.</w:t>
            </w:r>
          </w:p>
        </w:tc>
        <w:tc>
          <w:tcPr>
            <w:tcW w:w="4259" w:type="dxa"/>
            <w:shd w:val="clear" w:color="auto" w:fill="auto"/>
          </w:tcPr>
          <w:p w:rsidR="006D3AD4" w:rsidRPr="003950F1" w:rsidRDefault="006D3AD4" w:rsidP="00882818">
            <w:pPr>
              <w:rPr>
                <w:lang w:val="el-GR"/>
              </w:rPr>
            </w:pPr>
            <w:r w:rsidRPr="003950F1">
              <w:rPr>
                <w:lang w:val="el-GR"/>
              </w:rPr>
              <w:t>Συμμόρφωση με τις προδιαγραφές και απαιτήσεις που περιγράφονται στο Παράρτημα Ι, §2.8 «</w:t>
            </w:r>
            <w:bookmarkStart w:id="1" w:name="_Toc88489659"/>
            <w:r w:rsidRPr="003950F1">
              <w:rPr>
                <w:lang w:val="el-GR"/>
              </w:rPr>
              <w:t>Λοιπές Τεχνικές Απαιτήσεις συστήματος</w:t>
            </w:r>
            <w:bookmarkEnd w:id="1"/>
            <w:r w:rsidRPr="003950F1">
              <w:rPr>
                <w:lang w:val="el-GR"/>
              </w:rPr>
              <w:t>» σχετικά με:</w:t>
            </w:r>
          </w:p>
          <w:p w:rsidR="006D3AD4" w:rsidRPr="007F5E96" w:rsidRDefault="006D3AD4" w:rsidP="006D3AD4">
            <w:pPr>
              <w:pStyle w:val="a4"/>
              <w:numPr>
                <w:ilvl w:val="0"/>
                <w:numId w:val="1"/>
              </w:numPr>
              <w:suppressAutoHyphens w:val="0"/>
              <w:spacing w:after="160" w:line="259" w:lineRule="auto"/>
              <w:ind w:left="465"/>
              <w:rPr>
                <w:rFonts w:cs="Calibri"/>
              </w:rPr>
            </w:pPr>
            <w:proofErr w:type="spellStart"/>
            <w:r w:rsidRPr="007F5E96">
              <w:rPr>
                <w:rFonts w:cs="Calibri"/>
              </w:rPr>
              <w:t>Ανοιχτά</w:t>
            </w:r>
            <w:proofErr w:type="spellEnd"/>
            <w:r w:rsidRPr="007F5E96">
              <w:rPr>
                <w:rFonts w:cs="Calibri"/>
              </w:rPr>
              <w:t xml:space="preserve"> </w:t>
            </w:r>
            <w:proofErr w:type="spellStart"/>
            <w:r w:rsidRPr="007F5E96">
              <w:rPr>
                <w:rFonts w:cs="Calibri"/>
              </w:rPr>
              <w:t>Πρότυ</w:t>
            </w:r>
            <w:proofErr w:type="spellEnd"/>
            <w:r w:rsidRPr="007F5E96">
              <w:rPr>
                <w:rFonts w:cs="Calibri"/>
              </w:rPr>
              <w:t>πα</w:t>
            </w:r>
          </w:p>
          <w:p w:rsidR="006D3AD4" w:rsidRPr="007F5E96" w:rsidRDefault="006D3AD4" w:rsidP="006D3AD4">
            <w:pPr>
              <w:pStyle w:val="a4"/>
              <w:numPr>
                <w:ilvl w:val="0"/>
                <w:numId w:val="1"/>
              </w:numPr>
              <w:suppressAutoHyphens w:val="0"/>
              <w:spacing w:after="160" w:line="259" w:lineRule="auto"/>
              <w:ind w:left="465"/>
              <w:rPr>
                <w:rFonts w:cs="Calibri"/>
              </w:rPr>
            </w:pPr>
            <w:r w:rsidRPr="007F5E96">
              <w:rPr>
                <w:rFonts w:cs="Calibri"/>
              </w:rPr>
              <w:t>Απα</w:t>
            </w:r>
            <w:proofErr w:type="spellStart"/>
            <w:r w:rsidRPr="007F5E96">
              <w:rPr>
                <w:rFonts w:cs="Calibri"/>
              </w:rPr>
              <w:t>ιτήσεις</w:t>
            </w:r>
            <w:proofErr w:type="spellEnd"/>
            <w:r w:rsidRPr="007F5E96">
              <w:rPr>
                <w:rFonts w:cs="Calibri"/>
              </w:rPr>
              <w:t xml:space="preserve"> </w:t>
            </w:r>
            <w:proofErr w:type="spellStart"/>
            <w:r w:rsidRPr="007F5E96">
              <w:rPr>
                <w:rFonts w:cs="Calibri"/>
              </w:rPr>
              <w:t>Ποιότητ</w:t>
            </w:r>
            <w:proofErr w:type="spellEnd"/>
            <w:r w:rsidRPr="007F5E96">
              <w:rPr>
                <w:rFonts w:cs="Calibri"/>
              </w:rPr>
              <w:t xml:space="preserve">ας </w:t>
            </w:r>
            <w:proofErr w:type="spellStart"/>
            <w:r w:rsidRPr="007F5E96">
              <w:rPr>
                <w:rFonts w:cs="Calibri"/>
              </w:rPr>
              <w:t>Σχεδι</w:t>
            </w:r>
            <w:proofErr w:type="spellEnd"/>
            <w:r w:rsidRPr="007F5E96">
              <w:rPr>
                <w:rFonts w:cs="Calibri"/>
              </w:rPr>
              <w:t xml:space="preserve">ασμού και </w:t>
            </w:r>
            <w:proofErr w:type="spellStart"/>
            <w:r w:rsidRPr="007F5E96">
              <w:rPr>
                <w:rFonts w:cs="Calibri"/>
              </w:rPr>
              <w:t>Ανά</w:t>
            </w:r>
            <w:proofErr w:type="spellEnd"/>
            <w:r w:rsidRPr="007F5E96">
              <w:rPr>
                <w:rFonts w:cs="Calibri"/>
              </w:rPr>
              <w:t>πτυξης</w:t>
            </w:r>
          </w:p>
          <w:p w:rsidR="006D3AD4" w:rsidRPr="007F5E96" w:rsidRDefault="006D3AD4" w:rsidP="006D3AD4">
            <w:pPr>
              <w:pStyle w:val="a4"/>
              <w:numPr>
                <w:ilvl w:val="0"/>
                <w:numId w:val="1"/>
              </w:numPr>
              <w:suppressAutoHyphens w:val="0"/>
              <w:spacing w:after="160" w:line="259" w:lineRule="auto"/>
              <w:ind w:left="465"/>
              <w:rPr>
                <w:rFonts w:cs="Calibri"/>
              </w:rPr>
            </w:pPr>
            <w:r w:rsidRPr="007F5E96">
              <w:rPr>
                <w:rFonts w:cs="Calibri"/>
              </w:rPr>
              <w:t>Απα</w:t>
            </w:r>
            <w:proofErr w:type="spellStart"/>
            <w:r w:rsidRPr="007F5E96">
              <w:rPr>
                <w:rFonts w:cs="Calibri"/>
              </w:rPr>
              <w:t>ιτήσεις</w:t>
            </w:r>
            <w:proofErr w:type="spellEnd"/>
            <w:r w:rsidRPr="007F5E96">
              <w:rPr>
                <w:rFonts w:cs="Calibri"/>
              </w:rPr>
              <w:t xml:space="preserve"> </w:t>
            </w:r>
            <w:proofErr w:type="spellStart"/>
            <w:r w:rsidRPr="007F5E96">
              <w:rPr>
                <w:rFonts w:cs="Calibri"/>
              </w:rPr>
              <w:t>Ευχρηστί</w:t>
            </w:r>
            <w:proofErr w:type="spellEnd"/>
            <w:r w:rsidRPr="007F5E96">
              <w:rPr>
                <w:rFonts w:cs="Calibri"/>
              </w:rPr>
              <w:t xml:space="preserve">ας </w:t>
            </w:r>
            <w:proofErr w:type="spellStart"/>
            <w:r w:rsidRPr="007F5E96">
              <w:rPr>
                <w:rFonts w:cs="Calibri"/>
              </w:rPr>
              <w:t>Συστήμ</w:t>
            </w:r>
            <w:proofErr w:type="spellEnd"/>
            <w:r w:rsidRPr="007F5E96">
              <w:rPr>
                <w:rFonts w:cs="Calibri"/>
              </w:rPr>
              <w:t>ατος</w:t>
            </w:r>
          </w:p>
          <w:p w:rsidR="006D3AD4" w:rsidRPr="007F5E96" w:rsidRDefault="006D3AD4" w:rsidP="006D3AD4">
            <w:pPr>
              <w:pStyle w:val="a4"/>
              <w:numPr>
                <w:ilvl w:val="0"/>
                <w:numId w:val="1"/>
              </w:numPr>
              <w:suppressAutoHyphens w:val="0"/>
              <w:spacing w:after="160" w:line="259" w:lineRule="auto"/>
              <w:ind w:left="465"/>
              <w:rPr>
                <w:rFonts w:cs="Calibri"/>
              </w:rPr>
            </w:pPr>
            <w:r w:rsidRPr="007F5E96">
              <w:rPr>
                <w:rFonts w:cs="Calibri"/>
              </w:rPr>
              <w:t>Απα</w:t>
            </w:r>
            <w:proofErr w:type="spellStart"/>
            <w:r w:rsidRPr="007F5E96">
              <w:rPr>
                <w:rFonts w:cs="Calibri"/>
              </w:rPr>
              <w:t>ιτήσεις</w:t>
            </w:r>
            <w:proofErr w:type="spellEnd"/>
            <w:r w:rsidRPr="007F5E96">
              <w:rPr>
                <w:rFonts w:cs="Calibri"/>
              </w:rPr>
              <w:t xml:space="preserve"> </w:t>
            </w:r>
            <w:proofErr w:type="spellStart"/>
            <w:r w:rsidRPr="007F5E96">
              <w:rPr>
                <w:rFonts w:cs="Calibri"/>
              </w:rPr>
              <w:t>Δι</w:t>
            </w:r>
            <w:proofErr w:type="spellEnd"/>
            <w:r w:rsidRPr="007F5E96">
              <w:rPr>
                <w:rFonts w:cs="Calibri"/>
              </w:rPr>
              <w:t>ασυνδεσιμότητας</w:t>
            </w:r>
          </w:p>
          <w:p w:rsidR="006D3AD4" w:rsidRPr="007F5E96" w:rsidRDefault="006D3AD4" w:rsidP="006D3AD4">
            <w:pPr>
              <w:pStyle w:val="a4"/>
              <w:numPr>
                <w:ilvl w:val="0"/>
                <w:numId w:val="1"/>
              </w:numPr>
              <w:suppressAutoHyphens w:val="0"/>
              <w:spacing w:after="160" w:line="259" w:lineRule="auto"/>
              <w:ind w:left="465"/>
              <w:jc w:val="left"/>
              <w:rPr>
                <w:rFonts w:cs="Calibri"/>
              </w:rPr>
            </w:pPr>
            <w:r w:rsidRPr="007F5E96">
              <w:rPr>
                <w:rFonts w:cs="Calibri"/>
              </w:rPr>
              <w:t>Απα</w:t>
            </w:r>
            <w:proofErr w:type="spellStart"/>
            <w:r w:rsidRPr="007F5E96">
              <w:rPr>
                <w:rFonts w:cs="Calibri"/>
              </w:rPr>
              <w:t>ιτήσεις</w:t>
            </w:r>
            <w:proofErr w:type="spellEnd"/>
            <w:r w:rsidRPr="007F5E96">
              <w:rPr>
                <w:rFonts w:cs="Calibri"/>
              </w:rPr>
              <w:t xml:space="preserve"> Επ</w:t>
            </w:r>
            <w:proofErr w:type="spellStart"/>
            <w:r w:rsidRPr="007F5E96">
              <w:rPr>
                <w:rFonts w:cs="Calibri"/>
              </w:rPr>
              <w:t>εκτ</w:t>
            </w:r>
            <w:proofErr w:type="spellEnd"/>
            <w:r w:rsidRPr="007F5E96">
              <w:rPr>
                <w:rFonts w:cs="Calibri"/>
              </w:rPr>
              <w:t>ασιμότητας / Παρα</w:t>
            </w:r>
            <w:proofErr w:type="spellStart"/>
            <w:r w:rsidRPr="007F5E96">
              <w:rPr>
                <w:rFonts w:cs="Calibri"/>
              </w:rPr>
              <w:t>μετρικότητ</w:t>
            </w:r>
            <w:proofErr w:type="spellEnd"/>
            <w:r w:rsidRPr="007F5E96">
              <w:rPr>
                <w:rFonts w:cs="Calibri"/>
              </w:rPr>
              <w:t>ας</w:t>
            </w:r>
          </w:p>
          <w:p w:rsidR="006D3AD4" w:rsidRPr="007F5E96" w:rsidRDefault="006D3AD4" w:rsidP="006D3AD4">
            <w:pPr>
              <w:pStyle w:val="a4"/>
              <w:numPr>
                <w:ilvl w:val="0"/>
                <w:numId w:val="1"/>
              </w:numPr>
              <w:suppressAutoHyphens w:val="0"/>
              <w:spacing w:after="160" w:line="259" w:lineRule="auto"/>
              <w:ind w:left="465"/>
              <w:rPr>
                <w:rFonts w:cs="Calibri"/>
              </w:rPr>
            </w:pPr>
            <w:r w:rsidRPr="007F5E96">
              <w:rPr>
                <w:rFonts w:cs="Calibri"/>
              </w:rPr>
              <w:t>Απα</w:t>
            </w:r>
            <w:proofErr w:type="spellStart"/>
            <w:r w:rsidRPr="007F5E96">
              <w:rPr>
                <w:rFonts w:cs="Calibri"/>
              </w:rPr>
              <w:t>ιτήσεις</w:t>
            </w:r>
            <w:proofErr w:type="spellEnd"/>
            <w:r w:rsidRPr="007F5E96">
              <w:rPr>
                <w:rFonts w:cs="Calibri"/>
              </w:rPr>
              <w:t xml:space="preserve"> </w:t>
            </w:r>
            <w:proofErr w:type="spellStart"/>
            <w:r w:rsidRPr="007F5E96">
              <w:rPr>
                <w:rFonts w:cs="Calibri"/>
              </w:rPr>
              <w:t>Συμ</w:t>
            </w:r>
            <w:proofErr w:type="spellEnd"/>
            <w:r w:rsidRPr="007F5E96">
              <w:rPr>
                <w:rFonts w:cs="Calibri"/>
              </w:rPr>
              <w:t xml:space="preserve">βατότητας και </w:t>
            </w:r>
            <w:proofErr w:type="spellStart"/>
            <w:r w:rsidRPr="007F5E96">
              <w:rPr>
                <w:rFonts w:cs="Calibri"/>
              </w:rPr>
              <w:t>Ομ</w:t>
            </w:r>
            <w:proofErr w:type="spellEnd"/>
            <w:r w:rsidRPr="007F5E96">
              <w:rPr>
                <w:rFonts w:cs="Calibri"/>
              </w:rPr>
              <w:t xml:space="preserve">αλής </w:t>
            </w:r>
            <w:proofErr w:type="spellStart"/>
            <w:r w:rsidRPr="007F5E96">
              <w:rPr>
                <w:rFonts w:cs="Calibri"/>
              </w:rPr>
              <w:t>Ολοκλήρωσης</w:t>
            </w:r>
            <w:proofErr w:type="spellEnd"/>
          </w:p>
          <w:p w:rsidR="006D3AD4" w:rsidRPr="007F5E96" w:rsidRDefault="006D3AD4" w:rsidP="006D3AD4">
            <w:pPr>
              <w:pStyle w:val="a4"/>
              <w:numPr>
                <w:ilvl w:val="0"/>
                <w:numId w:val="1"/>
              </w:numPr>
              <w:suppressAutoHyphens w:val="0"/>
              <w:spacing w:after="160" w:line="259" w:lineRule="auto"/>
              <w:ind w:left="465"/>
              <w:jc w:val="left"/>
              <w:rPr>
                <w:rFonts w:cs="Calibri"/>
              </w:rPr>
            </w:pPr>
            <w:r w:rsidRPr="007F5E96">
              <w:rPr>
                <w:rFonts w:cs="Calibri"/>
              </w:rPr>
              <w:t>Απα</w:t>
            </w:r>
            <w:proofErr w:type="spellStart"/>
            <w:r w:rsidRPr="007F5E96">
              <w:rPr>
                <w:rFonts w:cs="Calibri"/>
              </w:rPr>
              <w:t>ιτήσεις</w:t>
            </w:r>
            <w:proofErr w:type="spellEnd"/>
            <w:r w:rsidRPr="007F5E96">
              <w:rPr>
                <w:rFonts w:cs="Calibri"/>
              </w:rPr>
              <w:t xml:space="preserve"> </w:t>
            </w:r>
            <w:proofErr w:type="spellStart"/>
            <w:r w:rsidRPr="007F5E96">
              <w:rPr>
                <w:rFonts w:cs="Calibri"/>
              </w:rPr>
              <w:t>Ηλεκτρονικής</w:t>
            </w:r>
            <w:proofErr w:type="spellEnd"/>
            <w:r w:rsidRPr="007F5E96">
              <w:rPr>
                <w:rFonts w:cs="Calibri"/>
              </w:rPr>
              <w:t xml:space="preserve"> </w:t>
            </w:r>
            <w:proofErr w:type="spellStart"/>
            <w:r w:rsidRPr="007F5E96">
              <w:rPr>
                <w:rFonts w:cs="Calibri"/>
              </w:rPr>
              <w:t>Προσ</w:t>
            </w:r>
            <w:proofErr w:type="spellEnd"/>
            <w:r w:rsidRPr="007F5E96">
              <w:rPr>
                <w:rFonts w:cs="Calibri"/>
              </w:rPr>
              <w:t xml:space="preserve">βασιμότητας / </w:t>
            </w:r>
            <w:proofErr w:type="spellStart"/>
            <w:r w:rsidRPr="007F5E96">
              <w:rPr>
                <w:rFonts w:cs="Calibri"/>
              </w:rPr>
              <w:t>Χρηστικότητ</w:t>
            </w:r>
            <w:proofErr w:type="spellEnd"/>
            <w:r w:rsidRPr="007F5E96">
              <w:rPr>
                <w:rFonts w:cs="Calibri"/>
              </w:rPr>
              <w:t>ας Υπ</w:t>
            </w:r>
            <w:proofErr w:type="spellStart"/>
            <w:r w:rsidRPr="007F5E96">
              <w:rPr>
                <w:rFonts w:cs="Calibri"/>
              </w:rPr>
              <w:t>ηρεσιών</w:t>
            </w:r>
            <w:proofErr w:type="spellEnd"/>
          </w:p>
          <w:p w:rsidR="006D3AD4" w:rsidRPr="007F5E96" w:rsidRDefault="006D3AD4" w:rsidP="006D3AD4">
            <w:pPr>
              <w:pStyle w:val="a4"/>
              <w:numPr>
                <w:ilvl w:val="0"/>
                <w:numId w:val="1"/>
              </w:numPr>
              <w:suppressAutoHyphens w:val="0"/>
              <w:spacing w:after="160" w:line="259" w:lineRule="auto"/>
              <w:ind w:left="465"/>
              <w:rPr>
                <w:rFonts w:cs="Calibri"/>
              </w:rPr>
            </w:pPr>
            <w:proofErr w:type="spellStart"/>
            <w:r w:rsidRPr="007F5E96">
              <w:rPr>
                <w:rFonts w:cs="Calibri"/>
              </w:rPr>
              <w:t>Πρόσ</w:t>
            </w:r>
            <w:proofErr w:type="spellEnd"/>
            <w:r w:rsidRPr="007F5E96">
              <w:rPr>
                <w:rFonts w:cs="Calibri"/>
              </w:rPr>
              <w:t xml:space="preserve">βαση / </w:t>
            </w:r>
            <w:proofErr w:type="spellStart"/>
            <w:r w:rsidRPr="007F5E96">
              <w:rPr>
                <w:rFonts w:cs="Calibri"/>
              </w:rPr>
              <w:t>Προσ</w:t>
            </w:r>
            <w:proofErr w:type="spellEnd"/>
            <w:r w:rsidRPr="007F5E96">
              <w:rPr>
                <w:rFonts w:cs="Calibri"/>
              </w:rPr>
              <w:t>πέλαση</w:t>
            </w:r>
          </w:p>
          <w:p w:rsidR="006D3AD4" w:rsidRPr="007F5E96" w:rsidRDefault="006D3AD4" w:rsidP="006D3AD4">
            <w:pPr>
              <w:pStyle w:val="a4"/>
              <w:numPr>
                <w:ilvl w:val="0"/>
                <w:numId w:val="1"/>
              </w:numPr>
              <w:suppressAutoHyphens w:val="0"/>
              <w:spacing w:after="160" w:line="259" w:lineRule="auto"/>
              <w:ind w:left="465"/>
              <w:rPr>
                <w:rFonts w:cs="Calibri"/>
              </w:rPr>
            </w:pPr>
            <w:proofErr w:type="spellStart"/>
            <w:r w:rsidRPr="007F5E96">
              <w:rPr>
                <w:rFonts w:cs="Calibri"/>
              </w:rPr>
              <w:t>Πλοήγηση</w:t>
            </w:r>
            <w:proofErr w:type="spellEnd"/>
            <w:r w:rsidRPr="007F5E96">
              <w:rPr>
                <w:rFonts w:cs="Calibri"/>
              </w:rPr>
              <w:t xml:space="preserve"> / Υπ</w:t>
            </w:r>
            <w:proofErr w:type="spellStart"/>
            <w:r w:rsidRPr="007F5E96">
              <w:rPr>
                <w:rFonts w:cs="Calibri"/>
              </w:rPr>
              <w:t>οστήριξη</w:t>
            </w:r>
            <w:proofErr w:type="spellEnd"/>
            <w:r w:rsidRPr="007F5E96">
              <w:rPr>
                <w:rFonts w:cs="Calibri"/>
              </w:rPr>
              <w:t xml:space="preserve"> </w:t>
            </w:r>
            <w:proofErr w:type="spellStart"/>
            <w:r w:rsidRPr="007F5E96">
              <w:rPr>
                <w:rFonts w:cs="Calibri"/>
              </w:rPr>
              <w:t>Χρηστών</w:t>
            </w:r>
            <w:proofErr w:type="spellEnd"/>
          </w:p>
          <w:p w:rsidR="006D3AD4" w:rsidRPr="007F5E96" w:rsidRDefault="006D3AD4" w:rsidP="006D3AD4">
            <w:pPr>
              <w:pStyle w:val="a4"/>
              <w:numPr>
                <w:ilvl w:val="0"/>
                <w:numId w:val="1"/>
              </w:numPr>
              <w:suppressAutoHyphens w:val="0"/>
              <w:spacing w:after="160" w:line="259" w:lineRule="auto"/>
              <w:ind w:left="465"/>
              <w:rPr>
                <w:rFonts w:cs="Calibri"/>
                <w:b/>
                <w:sz w:val="24"/>
              </w:rPr>
            </w:pPr>
            <w:proofErr w:type="spellStart"/>
            <w:r w:rsidRPr="007F5E96">
              <w:rPr>
                <w:rFonts w:cs="Calibri"/>
              </w:rPr>
              <w:t>Πολιτική</w:t>
            </w:r>
            <w:proofErr w:type="spellEnd"/>
            <w:r w:rsidRPr="007F5E96">
              <w:rPr>
                <w:rFonts w:cs="Calibri"/>
              </w:rPr>
              <w:t xml:space="preserve"> </w:t>
            </w:r>
            <w:proofErr w:type="spellStart"/>
            <w:r w:rsidRPr="007F5E96">
              <w:rPr>
                <w:rFonts w:cs="Calibri"/>
              </w:rPr>
              <w:t>Αδειών</w:t>
            </w:r>
            <w:proofErr w:type="spellEnd"/>
            <w:r w:rsidRPr="007F5E96">
              <w:rPr>
                <w:rFonts w:cs="Calibri"/>
              </w:rPr>
              <w:t xml:space="preserve"> </w:t>
            </w:r>
            <w:proofErr w:type="spellStart"/>
            <w:r w:rsidRPr="007F5E96">
              <w:rPr>
                <w:rFonts w:cs="Calibri"/>
              </w:rPr>
              <w:t>Χρήσης</w:t>
            </w:r>
            <w:proofErr w:type="spellEnd"/>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9698" w:type="dxa"/>
            <w:gridSpan w:val="6"/>
            <w:shd w:val="clear" w:color="auto" w:fill="auto"/>
          </w:tcPr>
          <w:p w:rsidR="006D3AD4" w:rsidRPr="00652220" w:rsidRDefault="006D3AD4" w:rsidP="00882818">
            <w:pPr>
              <w:spacing w:before="120"/>
              <w:rPr>
                <w:b/>
              </w:rPr>
            </w:pPr>
            <w:r w:rsidRPr="00652220">
              <w:rPr>
                <w:b/>
              </w:rPr>
              <w:t>Δ. Επ</w:t>
            </w:r>
            <w:proofErr w:type="spellStart"/>
            <w:r w:rsidRPr="00652220">
              <w:rPr>
                <w:b/>
              </w:rPr>
              <w:t>ιχειρησι</w:t>
            </w:r>
            <w:proofErr w:type="spellEnd"/>
            <w:r w:rsidRPr="00652220">
              <w:rPr>
                <w:b/>
              </w:rPr>
              <w:t>ακές Απα</w:t>
            </w:r>
            <w:proofErr w:type="spellStart"/>
            <w:r w:rsidRPr="00652220">
              <w:rPr>
                <w:b/>
              </w:rPr>
              <w:t>ιτήσεις</w:t>
            </w:r>
            <w:proofErr w:type="spellEnd"/>
          </w:p>
        </w:tc>
      </w:tr>
      <w:tr w:rsidR="006D3AD4" w:rsidRPr="00652220" w:rsidTr="00882818">
        <w:trPr>
          <w:trHeight w:val="490"/>
        </w:trPr>
        <w:tc>
          <w:tcPr>
            <w:tcW w:w="556" w:type="dxa"/>
            <w:shd w:val="clear" w:color="auto" w:fill="auto"/>
          </w:tcPr>
          <w:p w:rsidR="006D3AD4" w:rsidRPr="00652220" w:rsidRDefault="006D3AD4" w:rsidP="00882818">
            <w:pPr>
              <w:jc w:val="center"/>
              <w:rPr>
                <w:b/>
              </w:rPr>
            </w:pPr>
            <w:r w:rsidRPr="00652220">
              <w:t>1.</w:t>
            </w:r>
          </w:p>
        </w:tc>
        <w:tc>
          <w:tcPr>
            <w:tcW w:w="4259" w:type="dxa"/>
            <w:shd w:val="clear" w:color="auto" w:fill="auto"/>
          </w:tcPr>
          <w:p w:rsidR="006D3AD4" w:rsidRPr="007F5E96" w:rsidRDefault="006D3AD4" w:rsidP="00882818">
            <w:pPr>
              <w:pStyle w:val="a3"/>
              <w:tabs>
                <w:tab w:val="left" w:pos="426"/>
              </w:tabs>
              <w:rPr>
                <w:rFonts w:cs="Calibri"/>
                <w:lang w:val="el-GR"/>
              </w:rPr>
            </w:pPr>
            <w:r w:rsidRPr="007F5E96">
              <w:rPr>
                <w:rFonts w:cs="Calibri"/>
                <w:lang w:val="el-GR"/>
              </w:rPr>
              <w:t xml:space="preserve">Υλοποίηση του Υποσυστήματος 1 </w:t>
            </w:r>
            <w:r w:rsidRPr="007F5E96">
              <w:rPr>
                <w:rFonts w:cs="Calibri"/>
                <w:b/>
                <w:lang w:val="el-GR"/>
              </w:rPr>
              <w:t xml:space="preserve"> </w:t>
            </w:r>
            <w:r w:rsidRPr="007F5E96">
              <w:rPr>
                <w:rFonts w:cs="Calibri"/>
                <w:lang w:val="el-GR"/>
              </w:rPr>
              <w:t>Παρακολούθησης Στρατηγικού Σχεδίου, σύμφωνα με τα αναφερόμενα στο ΠΑΡΑΡΤΗΜΑ Ι, §2.3.1.</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2.</w:t>
            </w:r>
          </w:p>
        </w:tc>
        <w:tc>
          <w:tcPr>
            <w:tcW w:w="4259" w:type="dxa"/>
            <w:shd w:val="clear" w:color="auto" w:fill="auto"/>
          </w:tcPr>
          <w:p w:rsidR="006D3AD4" w:rsidRPr="003950F1" w:rsidRDefault="006D3AD4" w:rsidP="00882818">
            <w:pPr>
              <w:rPr>
                <w:b/>
                <w:lang w:val="el-GR"/>
              </w:rPr>
            </w:pPr>
            <w:r w:rsidRPr="003950F1">
              <w:rPr>
                <w:lang w:val="el-GR"/>
              </w:rPr>
              <w:t xml:space="preserve">Υλοποίηση του Υποσυστήματος 2 </w:t>
            </w:r>
            <w:r w:rsidRPr="003950F1">
              <w:rPr>
                <w:b/>
                <w:lang w:val="el-GR"/>
              </w:rPr>
              <w:t xml:space="preserve"> </w:t>
            </w:r>
            <w:proofErr w:type="spellStart"/>
            <w:r w:rsidRPr="003950F1">
              <w:rPr>
                <w:lang w:val="el-GR"/>
              </w:rPr>
              <w:t>Στοχοθεσίας</w:t>
            </w:r>
            <w:proofErr w:type="spellEnd"/>
            <w:r w:rsidRPr="003950F1">
              <w:rPr>
                <w:lang w:val="el-GR"/>
              </w:rPr>
              <w:t>, σύμφ</w:t>
            </w:r>
            <w:r>
              <w:rPr>
                <w:lang w:val="el-GR"/>
              </w:rPr>
              <w:t>ωνα με τα αναφερόμενα στο ΠΑΡΑΡ</w:t>
            </w:r>
            <w:r w:rsidRPr="003950F1">
              <w:rPr>
                <w:lang w:val="el-GR"/>
              </w:rPr>
              <w:t>ΤΗΜΑ Ι, §2.3.2</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3.</w:t>
            </w:r>
          </w:p>
        </w:tc>
        <w:tc>
          <w:tcPr>
            <w:tcW w:w="4259" w:type="dxa"/>
            <w:shd w:val="clear" w:color="auto" w:fill="auto"/>
          </w:tcPr>
          <w:p w:rsidR="006D3AD4" w:rsidRPr="003950F1" w:rsidRDefault="006D3AD4" w:rsidP="00882818">
            <w:pPr>
              <w:rPr>
                <w:b/>
                <w:lang w:val="el-GR"/>
              </w:rPr>
            </w:pPr>
            <w:r w:rsidRPr="003950F1">
              <w:rPr>
                <w:lang w:val="el-GR"/>
              </w:rPr>
              <w:t xml:space="preserve">Υλοποίηση του Υποσυστήματος 3 </w:t>
            </w:r>
            <w:r w:rsidRPr="003950F1">
              <w:rPr>
                <w:b/>
                <w:lang w:val="el-GR"/>
              </w:rPr>
              <w:t xml:space="preserve"> </w:t>
            </w:r>
            <w:r w:rsidRPr="003950F1">
              <w:rPr>
                <w:lang w:val="el-GR"/>
              </w:rPr>
              <w:t>Παρακολούθησης Έργων, σύμφωνα με τα αναφερόμενα στο ΠΑΡΑΡΑΤΗΜΑ Ι, §2.3.3</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4.</w:t>
            </w:r>
          </w:p>
        </w:tc>
        <w:tc>
          <w:tcPr>
            <w:tcW w:w="4259" w:type="dxa"/>
            <w:shd w:val="clear" w:color="auto" w:fill="auto"/>
          </w:tcPr>
          <w:p w:rsidR="006D3AD4" w:rsidRPr="003950F1" w:rsidRDefault="006D3AD4" w:rsidP="00882818">
            <w:pPr>
              <w:rPr>
                <w:b/>
                <w:lang w:val="el-GR"/>
              </w:rPr>
            </w:pPr>
            <w:r w:rsidRPr="003950F1">
              <w:rPr>
                <w:lang w:val="el-GR"/>
              </w:rPr>
              <w:t xml:space="preserve">Υλοποίηση του Υποσυστήματος 4 </w:t>
            </w:r>
            <w:r w:rsidRPr="003950F1">
              <w:rPr>
                <w:b/>
                <w:lang w:val="el-GR"/>
              </w:rPr>
              <w:t xml:space="preserve"> </w:t>
            </w:r>
            <w:r w:rsidRPr="003950F1">
              <w:rPr>
                <w:lang w:val="el-GR"/>
              </w:rPr>
              <w:t>Εισαγωγής Δεδομένων και Υποβολής Αποτελεσμάτων, σύμφ</w:t>
            </w:r>
            <w:r>
              <w:rPr>
                <w:lang w:val="el-GR"/>
              </w:rPr>
              <w:t>ωνα με τα αναφερόμενα στο ΠΑΡΑΡ</w:t>
            </w:r>
            <w:r w:rsidRPr="003950F1">
              <w:rPr>
                <w:lang w:val="el-GR"/>
              </w:rPr>
              <w:t>ΤΗΜΑ Ι, §2.3.4</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5.</w:t>
            </w:r>
          </w:p>
        </w:tc>
        <w:tc>
          <w:tcPr>
            <w:tcW w:w="4259" w:type="dxa"/>
            <w:shd w:val="clear" w:color="auto" w:fill="auto"/>
          </w:tcPr>
          <w:p w:rsidR="006D3AD4" w:rsidRPr="003950F1" w:rsidRDefault="006D3AD4" w:rsidP="00882818">
            <w:pPr>
              <w:rPr>
                <w:b/>
                <w:lang w:val="el-GR"/>
              </w:rPr>
            </w:pPr>
            <w:r w:rsidRPr="003950F1">
              <w:rPr>
                <w:lang w:val="el-GR"/>
              </w:rPr>
              <w:t xml:space="preserve">Υλοποίηση του Υποσυστήματος 5 </w:t>
            </w:r>
            <w:r w:rsidRPr="003950F1">
              <w:rPr>
                <w:b/>
                <w:lang w:val="el-GR"/>
              </w:rPr>
              <w:t xml:space="preserve"> </w:t>
            </w:r>
            <w:r w:rsidRPr="003950F1">
              <w:rPr>
                <w:lang w:val="el-GR"/>
              </w:rPr>
              <w:t xml:space="preserve">Παρακολούθησης Επιχειρησιακού Σχεδίου, </w:t>
            </w:r>
            <w:r w:rsidRPr="003950F1">
              <w:rPr>
                <w:lang w:val="el-GR"/>
              </w:rPr>
              <w:lastRenderedPageBreak/>
              <w:t xml:space="preserve">σύμφωνα με τα αναφερόμενα στο </w:t>
            </w:r>
            <w:r>
              <w:rPr>
                <w:lang w:val="el-GR"/>
              </w:rPr>
              <w:t>ΠΑΡΑΡ</w:t>
            </w:r>
            <w:r w:rsidRPr="003950F1">
              <w:rPr>
                <w:lang w:val="el-GR"/>
              </w:rPr>
              <w:t>ΤΗΜΑ Ι, §2.3.5</w:t>
            </w:r>
          </w:p>
        </w:tc>
        <w:tc>
          <w:tcPr>
            <w:tcW w:w="1751" w:type="dxa"/>
            <w:gridSpan w:val="2"/>
            <w:shd w:val="clear" w:color="auto" w:fill="auto"/>
          </w:tcPr>
          <w:p w:rsidR="006D3AD4" w:rsidRPr="00652220" w:rsidRDefault="006D3AD4" w:rsidP="00882818">
            <w:pPr>
              <w:jc w:val="center"/>
            </w:pPr>
            <w:r w:rsidRPr="00652220">
              <w:lastRenderedPageBreak/>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6.</w:t>
            </w:r>
          </w:p>
        </w:tc>
        <w:tc>
          <w:tcPr>
            <w:tcW w:w="4259" w:type="dxa"/>
            <w:shd w:val="clear" w:color="auto" w:fill="auto"/>
          </w:tcPr>
          <w:p w:rsidR="006D3AD4" w:rsidRPr="003950F1" w:rsidRDefault="006D3AD4" w:rsidP="00882818">
            <w:pPr>
              <w:rPr>
                <w:b/>
                <w:lang w:val="el-GR"/>
              </w:rPr>
            </w:pPr>
            <w:r w:rsidRPr="003950F1">
              <w:rPr>
                <w:lang w:val="el-GR"/>
              </w:rPr>
              <w:t xml:space="preserve">Υλοποίηση του Υποσυστήματος 6 </w:t>
            </w:r>
            <w:r w:rsidRPr="003950F1">
              <w:rPr>
                <w:b/>
                <w:lang w:val="el-GR"/>
              </w:rPr>
              <w:t xml:space="preserve"> </w:t>
            </w:r>
            <w:r w:rsidRPr="003950F1">
              <w:rPr>
                <w:lang w:val="el-GR"/>
              </w:rPr>
              <w:t>Δημιουργίας και</w:t>
            </w:r>
            <w:r w:rsidRPr="003950F1">
              <w:rPr>
                <w:b/>
                <w:lang w:val="el-GR"/>
              </w:rPr>
              <w:t xml:space="preserve"> </w:t>
            </w:r>
            <w:r w:rsidRPr="003950F1">
              <w:rPr>
                <w:lang w:val="el-GR"/>
              </w:rPr>
              <w:t>Διαχείρισης Αναφορών και Στατιστικών, σύμφ</w:t>
            </w:r>
            <w:r>
              <w:rPr>
                <w:lang w:val="el-GR"/>
              </w:rPr>
              <w:t>ωνα με τα αναφερόμενα στο ΠΑΡΑΡ</w:t>
            </w:r>
            <w:r w:rsidRPr="003950F1">
              <w:rPr>
                <w:lang w:val="el-GR"/>
              </w:rPr>
              <w:t>ΤΗΜΑ Ι, §2.3.6</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7.</w:t>
            </w:r>
          </w:p>
        </w:tc>
        <w:tc>
          <w:tcPr>
            <w:tcW w:w="4259" w:type="dxa"/>
            <w:shd w:val="clear" w:color="auto" w:fill="auto"/>
          </w:tcPr>
          <w:p w:rsidR="006D3AD4" w:rsidRPr="003950F1" w:rsidRDefault="006D3AD4" w:rsidP="00882818">
            <w:pPr>
              <w:rPr>
                <w:b/>
                <w:lang w:val="el-GR"/>
              </w:rPr>
            </w:pPr>
            <w:r w:rsidRPr="003950F1">
              <w:rPr>
                <w:lang w:val="el-GR"/>
              </w:rPr>
              <w:t xml:space="preserve">Υλοποίηση του Υποσυστήματος 7 </w:t>
            </w:r>
            <w:r w:rsidRPr="003950F1">
              <w:rPr>
                <w:b/>
                <w:lang w:val="el-GR"/>
              </w:rPr>
              <w:t xml:space="preserve"> </w:t>
            </w:r>
            <w:r w:rsidRPr="003950F1">
              <w:rPr>
                <w:lang w:val="el-GR"/>
              </w:rPr>
              <w:t>Διαχείρισης Χρηστών και Συστήματος, σύμφωνα με τ</w:t>
            </w:r>
            <w:r>
              <w:rPr>
                <w:lang w:val="el-GR"/>
              </w:rPr>
              <w:t>α αναφερόμενα στο ΠΑΡΑΡ</w:t>
            </w:r>
            <w:r w:rsidRPr="003950F1">
              <w:rPr>
                <w:lang w:val="el-GR"/>
              </w:rPr>
              <w:t>ΤΗΜΑ Ι, §2.3.7</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8.</w:t>
            </w:r>
          </w:p>
        </w:tc>
        <w:tc>
          <w:tcPr>
            <w:tcW w:w="4259" w:type="dxa"/>
            <w:shd w:val="clear" w:color="auto" w:fill="auto"/>
          </w:tcPr>
          <w:p w:rsidR="006D3AD4" w:rsidRPr="003950F1" w:rsidRDefault="006D3AD4" w:rsidP="00882818">
            <w:pPr>
              <w:rPr>
                <w:lang w:val="el-GR"/>
              </w:rPr>
            </w:pPr>
            <w:r w:rsidRPr="003950F1">
              <w:rPr>
                <w:lang w:val="el-GR"/>
              </w:rPr>
              <w:t>Συμμόρφωση με τις προδιαγραφές και απαιτήσεις που περιγράφονται στο Παράρτημα Ι, §2.4 «Ειδικότερες λειτουργίες/δυνατότητες» σχετικά με:</w:t>
            </w:r>
          </w:p>
          <w:p w:rsidR="006D3AD4" w:rsidRPr="007F5E96" w:rsidRDefault="006D3AD4" w:rsidP="006D3AD4">
            <w:pPr>
              <w:pStyle w:val="a4"/>
              <w:numPr>
                <w:ilvl w:val="0"/>
                <w:numId w:val="2"/>
              </w:numPr>
              <w:suppressAutoHyphens w:val="0"/>
              <w:spacing w:after="160" w:line="259" w:lineRule="auto"/>
              <w:ind w:left="324"/>
              <w:jc w:val="left"/>
              <w:rPr>
                <w:rFonts w:cs="Calibri"/>
              </w:rPr>
            </w:pPr>
            <w:proofErr w:type="spellStart"/>
            <w:r w:rsidRPr="007F5E96">
              <w:rPr>
                <w:rFonts w:cs="Calibri"/>
              </w:rPr>
              <w:t>Λειτουργίες</w:t>
            </w:r>
            <w:proofErr w:type="spellEnd"/>
            <w:r w:rsidRPr="007F5E96">
              <w:rPr>
                <w:rFonts w:cs="Calibri"/>
              </w:rPr>
              <w:t xml:space="preserve"> </w:t>
            </w:r>
            <w:proofErr w:type="spellStart"/>
            <w:r w:rsidRPr="007F5E96">
              <w:rPr>
                <w:rFonts w:cs="Calibri"/>
              </w:rPr>
              <w:t>Χρηστών</w:t>
            </w:r>
            <w:proofErr w:type="spellEnd"/>
          </w:p>
          <w:p w:rsidR="006D3AD4" w:rsidRPr="007F5E96" w:rsidRDefault="006D3AD4" w:rsidP="006D3AD4">
            <w:pPr>
              <w:pStyle w:val="a4"/>
              <w:numPr>
                <w:ilvl w:val="0"/>
                <w:numId w:val="2"/>
              </w:numPr>
              <w:suppressAutoHyphens w:val="0"/>
              <w:spacing w:after="160" w:line="259" w:lineRule="auto"/>
              <w:ind w:left="324"/>
              <w:jc w:val="left"/>
              <w:rPr>
                <w:rFonts w:cs="Calibri"/>
              </w:rPr>
            </w:pPr>
            <w:proofErr w:type="spellStart"/>
            <w:r w:rsidRPr="007F5E96">
              <w:rPr>
                <w:rFonts w:cs="Calibri"/>
              </w:rPr>
              <w:t>Λειτουργίες</w:t>
            </w:r>
            <w:proofErr w:type="spellEnd"/>
            <w:r w:rsidRPr="007F5E96">
              <w:rPr>
                <w:rFonts w:cs="Calibri"/>
              </w:rPr>
              <w:t xml:space="preserve"> </w:t>
            </w:r>
            <w:proofErr w:type="spellStart"/>
            <w:r w:rsidRPr="007F5E96">
              <w:rPr>
                <w:rFonts w:cs="Calibri"/>
              </w:rPr>
              <w:t>Δι</w:t>
            </w:r>
            <w:proofErr w:type="spellEnd"/>
            <w:r w:rsidRPr="007F5E96">
              <w:rPr>
                <w:rFonts w:cs="Calibri"/>
              </w:rPr>
              <w:t>αχειριστών</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9.</w:t>
            </w:r>
          </w:p>
        </w:tc>
        <w:tc>
          <w:tcPr>
            <w:tcW w:w="4259" w:type="dxa"/>
            <w:shd w:val="clear" w:color="auto" w:fill="auto"/>
          </w:tcPr>
          <w:p w:rsidR="006D3AD4" w:rsidRPr="003950F1" w:rsidRDefault="006D3AD4" w:rsidP="00882818">
            <w:pPr>
              <w:rPr>
                <w:lang w:val="el-GR"/>
              </w:rPr>
            </w:pPr>
            <w:r w:rsidRPr="003950F1">
              <w:rPr>
                <w:lang w:val="el-GR"/>
              </w:rPr>
              <w:t xml:space="preserve">Συμμόρφωση με τις προδιαγραφές και απαιτήσεις </w:t>
            </w:r>
            <w:proofErr w:type="spellStart"/>
            <w:r w:rsidRPr="003950F1">
              <w:rPr>
                <w:lang w:val="el-GR"/>
              </w:rPr>
              <w:t>αδειοδότησης</w:t>
            </w:r>
            <w:proofErr w:type="spellEnd"/>
            <w:r w:rsidRPr="003950F1">
              <w:rPr>
                <w:lang w:val="el-GR"/>
              </w:rPr>
              <w:t xml:space="preserve"> που περιγράφονται στο Παράρτημα Ι, §2.5 «Δυνητικοί Χρήστες συστήματος»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10.</w:t>
            </w:r>
          </w:p>
        </w:tc>
        <w:tc>
          <w:tcPr>
            <w:tcW w:w="4259" w:type="dxa"/>
            <w:shd w:val="clear" w:color="auto" w:fill="auto"/>
          </w:tcPr>
          <w:p w:rsidR="006D3AD4" w:rsidRPr="003950F1" w:rsidRDefault="006D3AD4" w:rsidP="00882818">
            <w:pPr>
              <w:rPr>
                <w:lang w:val="el-GR"/>
              </w:rPr>
            </w:pPr>
            <w:r w:rsidRPr="003950F1">
              <w:rPr>
                <w:lang w:val="el-GR"/>
              </w:rPr>
              <w:t xml:space="preserve">Συμμόρφωση με τις απαιτήσεις </w:t>
            </w:r>
            <w:proofErr w:type="spellStart"/>
            <w:r w:rsidRPr="003950F1">
              <w:rPr>
                <w:lang w:val="el-GR"/>
              </w:rPr>
              <w:t>διαλειτουργικότητας</w:t>
            </w:r>
            <w:proofErr w:type="spellEnd"/>
            <w:r w:rsidRPr="003950F1">
              <w:rPr>
                <w:lang w:val="el-GR"/>
              </w:rPr>
              <w:t>, όπως αυτές αποτυπώνονται στο ΠΑΡΑΡΤΗΜΑ Ι, §1.2.1 και §1.2.2</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9698" w:type="dxa"/>
            <w:gridSpan w:val="6"/>
            <w:shd w:val="clear" w:color="auto" w:fill="auto"/>
          </w:tcPr>
          <w:p w:rsidR="006D3AD4" w:rsidRPr="00652220" w:rsidRDefault="006D3AD4" w:rsidP="00882818">
            <w:pPr>
              <w:spacing w:before="120"/>
              <w:rPr>
                <w:b/>
              </w:rPr>
            </w:pPr>
            <w:r w:rsidRPr="00652220">
              <w:rPr>
                <w:b/>
              </w:rPr>
              <w:t>Ε. Υπ</w:t>
            </w:r>
            <w:proofErr w:type="spellStart"/>
            <w:r w:rsidRPr="00652220">
              <w:rPr>
                <w:b/>
              </w:rPr>
              <w:t>ηρεσίες</w:t>
            </w:r>
            <w:proofErr w:type="spellEnd"/>
            <w:r w:rsidRPr="00652220">
              <w:rPr>
                <w:b/>
              </w:rPr>
              <w:t xml:space="preserve"> </w:t>
            </w:r>
            <w:proofErr w:type="spellStart"/>
            <w:r w:rsidRPr="00652220">
              <w:rPr>
                <w:b/>
              </w:rPr>
              <w:t>Εκ</w:t>
            </w:r>
            <w:proofErr w:type="spellEnd"/>
            <w:r w:rsidRPr="00652220">
              <w:rPr>
                <w:b/>
              </w:rPr>
              <w:t>παίδευσης</w:t>
            </w: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1.</w:t>
            </w:r>
          </w:p>
        </w:tc>
        <w:tc>
          <w:tcPr>
            <w:tcW w:w="4259" w:type="dxa"/>
            <w:shd w:val="clear" w:color="auto" w:fill="auto"/>
          </w:tcPr>
          <w:p w:rsidR="006D3AD4" w:rsidRPr="003950F1" w:rsidRDefault="006D3AD4" w:rsidP="00882818">
            <w:pPr>
              <w:rPr>
                <w:b/>
                <w:lang w:val="el-GR"/>
              </w:rPr>
            </w:pPr>
            <w:r w:rsidRPr="003950F1">
              <w:rPr>
                <w:lang w:val="el-GR"/>
              </w:rPr>
              <w:t>Οι υπηρεσίες εκπαίδευσης απευθύνονται σε κατηγορίες εκπαιδευομένων, με βάση τον ρόλο κάθε στελέχους στη λειτουργία του συστήματος. Ο Υποψήφιος Ανάδοχος θα  πρέπει να προσφέρει τις υπηρεσίες εκπαίδευσης, σύμφωνα με τα αναφερόμενα στο ΠΑΡΑΡΤΗΜΑ Ι, §2.9</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652220" w:rsidTr="00882818">
        <w:trPr>
          <w:trHeight w:val="490"/>
        </w:trPr>
        <w:tc>
          <w:tcPr>
            <w:tcW w:w="9698" w:type="dxa"/>
            <w:gridSpan w:val="6"/>
            <w:shd w:val="clear" w:color="auto" w:fill="auto"/>
          </w:tcPr>
          <w:p w:rsidR="006D3AD4" w:rsidRPr="00652220" w:rsidRDefault="006D3AD4" w:rsidP="00882818">
            <w:pPr>
              <w:spacing w:before="120"/>
              <w:rPr>
                <w:b/>
              </w:rPr>
            </w:pPr>
            <w:r w:rsidRPr="00652220">
              <w:rPr>
                <w:b/>
              </w:rPr>
              <w:t xml:space="preserve">ΣΤ. </w:t>
            </w:r>
            <w:proofErr w:type="spellStart"/>
            <w:r w:rsidRPr="00652220">
              <w:rPr>
                <w:b/>
              </w:rPr>
              <w:t>Μεθοδολογί</w:t>
            </w:r>
            <w:proofErr w:type="spellEnd"/>
            <w:r w:rsidRPr="00652220">
              <w:rPr>
                <w:b/>
              </w:rPr>
              <w:t xml:space="preserve">α </w:t>
            </w:r>
            <w:proofErr w:type="spellStart"/>
            <w:r w:rsidRPr="00652220">
              <w:rPr>
                <w:b/>
              </w:rPr>
              <w:t>υλο</w:t>
            </w:r>
            <w:proofErr w:type="spellEnd"/>
            <w:r w:rsidRPr="00652220">
              <w:rPr>
                <w:b/>
              </w:rPr>
              <w:t>ποίησης</w:t>
            </w:r>
          </w:p>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1.</w:t>
            </w:r>
          </w:p>
        </w:tc>
        <w:tc>
          <w:tcPr>
            <w:tcW w:w="4259" w:type="dxa"/>
            <w:shd w:val="clear" w:color="auto" w:fill="auto"/>
          </w:tcPr>
          <w:p w:rsidR="006D3AD4" w:rsidRPr="00652220" w:rsidRDefault="006D3AD4" w:rsidP="00882818">
            <w:r w:rsidRPr="003950F1">
              <w:rPr>
                <w:lang w:val="el-GR"/>
              </w:rPr>
              <w:t xml:space="preserve">Ο Υποψήφιος Ανάδοχος θα πρέπει να παρουσιάσει στην Τεχνική Προσφορά του μια ολοκληρωμένη μεθοδολογική προσέγγιση, την οποία θα ακολουθήσει για την υλοποίηση του έργου, σύμφωνα με τα αναφερόμενα στο ΠΑΡΑΡΤΗΜΑ Ι, §3. </w:t>
            </w:r>
            <w:r w:rsidRPr="00652220">
              <w:t>Θα π</w:t>
            </w:r>
            <w:proofErr w:type="spellStart"/>
            <w:r w:rsidRPr="00652220">
              <w:t>ρέ</w:t>
            </w:r>
            <w:proofErr w:type="spellEnd"/>
            <w:r w:rsidRPr="00652220">
              <w:t xml:space="preserve">πει να </w:t>
            </w:r>
            <w:proofErr w:type="spellStart"/>
            <w:r w:rsidRPr="00652220">
              <w:t>συμ</w:t>
            </w:r>
            <w:proofErr w:type="spellEnd"/>
            <w:r w:rsidRPr="00652220">
              <w:t>περιλαμβάνονται:</w:t>
            </w:r>
          </w:p>
          <w:p w:rsidR="006D3AD4" w:rsidRPr="007F5E96" w:rsidRDefault="006D3AD4" w:rsidP="006D3AD4">
            <w:pPr>
              <w:pStyle w:val="a4"/>
              <w:numPr>
                <w:ilvl w:val="0"/>
                <w:numId w:val="3"/>
              </w:numPr>
              <w:suppressAutoHyphens w:val="0"/>
              <w:spacing w:after="160" w:line="259" w:lineRule="auto"/>
              <w:ind w:left="324"/>
              <w:rPr>
                <w:rFonts w:cs="Calibri"/>
                <w:lang w:val="el-GR"/>
              </w:rPr>
            </w:pPr>
            <w:r w:rsidRPr="007F5E96">
              <w:rPr>
                <w:rFonts w:cs="Calibri"/>
                <w:lang w:val="el-GR"/>
              </w:rPr>
              <w:t>Αποτύπωση και ανάλυση των Φάσεων Υλοποίησης</w:t>
            </w:r>
          </w:p>
          <w:p w:rsidR="006D3AD4" w:rsidRPr="007F5E96" w:rsidRDefault="006D3AD4" w:rsidP="006D3AD4">
            <w:pPr>
              <w:pStyle w:val="a4"/>
              <w:numPr>
                <w:ilvl w:val="0"/>
                <w:numId w:val="3"/>
              </w:numPr>
              <w:suppressAutoHyphens w:val="0"/>
              <w:spacing w:after="160" w:line="259" w:lineRule="auto"/>
              <w:ind w:left="324"/>
              <w:rPr>
                <w:rFonts w:cs="Calibri"/>
                <w:lang w:val="el-GR"/>
              </w:rPr>
            </w:pPr>
            <w:r w:rsidRPr="007F5E96">
              <w:rPr>
                <w:rFonts w:cs="Calibri"/>
                <w:lang w:val="el-GR"/>
              </w:rPr>
              <w:t xml:space="preserve">Ανάλυση των σταδίων και των παραδοτέων κάθε Φάσης που θα </w:t>
            </w:r>
            <w:r w:rsidRPr="007F5E96">
              <w:rPr>
                <w:rFonts w:cs="Calibri"/>
                <w:lang w:val="el-GR"/>
              </w:rPr>
              <w:lastRenderedPageBreak/>
              <w:t xml:space="preserve">εμπεριέχουν </w:t>
            </w:r>
            <w:proofErr w:type="spellStart"/>
            <w:r w:rsidRPr="007F5E96">
              <w:rPr>
                <w:rFonts w:cs="Calibri"/>
                <w:lang w:val="el-GR"/>
              </w:rPr>
              <w:t>κατ</w:t>
            </w:r>
            <w:proofErr w:type="spellEnd"/>
            <w:r w:rsidRPr="007F5E96">
              <w:rPr>
                <w:rFonts w:cs="Calibri"/>
                <w:lang w:val="el-GR"/>
              </w:rPr>
              <w:t>΄ ελάχιστον τα περιεχόμενα των παραδοτέων που περιγράφονται αναλυτικά στο ΠΑΡΑΡΤΗΜΑ Ι, §3.1 και συνοπτικά στο ΠΑΡΑΡΤΗΜΑ Ι, §4.</w:t>
            </w:r>
          </w:p>
          <w:p w:rsidR="006D3AD4" w:rsidRPr="007F5E96" w:rsidRDefault="006D3AD4" w:rsidP="006D3AD4">
            <w:pPr>
              <w:pStyle w:val="a4"/>
              <w:numPr>
                <w:ilvl w:val="0"/>
                <w:numId w:val="3"/>
              </w:numPr>
              <w:suppressAutoHyphens w:val="0"/>
              <w:spacing w:after="160" w:line="259" w:lineRule="auto"/>
              <w:ind w:left="324"/>
              <w:rPr>
                <w:rFonts w:cs="Calibri"/>
                <w:lang w:val="el-GR"/>
              </w:rPr>
            </w:pPr>
            <w:r w:rsidRPr="007F5E96">
              <w:rPr>
                <w:rFonts w:cs="Calibri"/>
                <w:lang w:val="el-GR"/>
              </w:rPr>
              <w:t>Χρονοδιάγραμμα υλοποίησης των Φάσεων και των Παραδοτέων, όπου θα διασφαλίζεται η έγκαιρη ολοκλήρωση του έργου εντός του τιθέμενου χρονοδιαγράμματος (12 μήνες), σύμφωνα με το ΠΑΡΑΡΤΗΜΑ Ι, §6</w:t>
            </w:r>
          </w:p>
        </w:tc>
        <w:tc>
          <w:tcPr>
            <w:tcW w:w="1751" w:type="dxa"/>
            <w:gridSpan w:val="2"/>
            <w:shd w:val="clear" w:color="auto" w:fill="auto"/>
          </w:tcPr>
          <w:p w:rsidR="006D3AD4" w:rsidRPr="00652220" w:rsidRDefault="006D3AD4" w:rsidP="00882818">
            <w:pPr>
              <w:jc w:val="center"/>
            </w:pPr>
            <w:r w:rsidRPr="00652220">
              <w:lastRenderedPageBreak/>
              <w:t>ΝΑΙ</w:t>
            </w:r>
          </w:p>
        </w:tc>
        <w:tc>
          <w:tcPr>
            <w:tcW w:w="1526" w:type="dxa"/>
            <w:shd w:val="clear" w:color="auto" w:fill="auto"/>
          </w:tcPr>
          <w:p w:rsidR="006D3AD4" w:rsidRPr="00652220" w:rsidRDefault="006D3AD4" w:rsidP="00882818">
            <w:pPr>
              <w:rPr>
                <w:b/>
              </w:rPr>
            </w:pPr>
          </w:p>
        </w:tc>
        <w:tc>
          <w:tcPr>
            <w:tcW w:w="1606" w:type="dxa"/>
            <w:shd w:val="clear" w:color="auto" w:fill="auto"/>
          </w:tcPr>
          <w:p w:rsidR="006D3AD4" w:rsidRPr="00652220" w:rsidRDefault="006D3AD4" w:rsidP="00882818">
            <w:pPr>
              <w:rPr>
                <w:b/>
              </w:rPr>
            </w:pPr>
          </w:p>
        </w:tc>
      </w:tr>
      <w:tr w:rsidR="006D3AD4" w:rsidRPr="003950F1" w:rsidTr="00882818">
        <w:trPr>
          <w:trHeight w:val="490"/>
        </w:trPr>
        <w:tc>
          <w:tcPr>
            <w:tcW w:w="9698" w:type="dxa"/>
            <w:gridSpan w:val="6"/>
            <w:shd w:val="clear" w:color="auto" w:fill="auto"/>
          </w:tcPr>
          <w:p w:rsidR="006D3AD4" w:rsidRPr="003950F1" w:rsidRDefault="006D3AD4" w:rsidP="00882818">
            <w:pPr>
              <w:spacing w:before="120"/>
              <w:rPr>
                <w:b/>
                <w:lang w:val="el-GR"/>
              </w:rPr>
            </w:pPr>
            <w:r w:rsidRPr="003950F1">
              <w:rPr>
                <w:b/>
                <w:lang w:val="el-GR"/>
              </w:rPr>
              <w:t>Ζ. Υπηρεσίες Εγγύησης και Συντήρησης</w:t>
            </w:r>
          </w:p>
        </w:tc>
      </w:tr>
      <w:tr w:rsidR="006D3AD4" w:rsidRPr="00652220" w:rsidTr="00882818">
        <w:trPr>
          <w:trHeight w:val="1990"/>
        </w:trPr>
        <w:tc>
          <w:tcPr>
            <w:tcW w:w="556" w:type="dxa"/>
            <w:shd w:val="clear" w:color="auto" w:fill="auto"/>
          </w:tcPr>
          <w:p w:rsidR="006D3AD4" w:rsidRPr="00652220" w:rsidRDefault="006D3AD4" w:rsidP="00882818">
            <w:pPr>
              <w:jc w:val="center"/>
            </w:pPr>
            <w:r w:rsidRPr="00652220">
              <w:t>1.</w:t>
            </w:r>
          </w:p>
        </w:tc>
        <w:tc>
          <w:tcPr>
            <w:tcW w:w="4259" w:type="dxa"/>
            <w:shd w:val="clear" w:color="auto" w:fill="auto"/>
          </w:tcPr>
          <w:p w:rsidR="006D3AD4" w:rsidRPr="003950F1" w:rsidRDefault="006D3AD4" w:rsidP="00882818">
            <w:pPr>
              <w:rPr>
                <w:lang w:val="el-GR"/>
              </w:rPr>
            </w:pPr>
            <w:r w:rsidRPr="003950F1">
              <w:rPr>
                <w:lang w:val="el-GR"/>
              </w:rPr>
              <w:t>Συμμόρφωση με τις χρονικές απαιτήσεις της περιόδου εγγύησης και συντήρησης, όπως περιγράφονται στο ΠΑΡΑΡΤΗΜΑ Ι, §5.1 και §5.2 και ειδικότερα:</w:t>
            </w:r>
          </w:p>
          <w:p w:rsidR="006D3AD4" w:rsidRPr="007F5E96" w:rsidRDefault="006D3AD4" w:rsidP="006D3AD4">
            <w:pPr>
              <w:pStyle w:val="a4"/>
              <w:numPr>
                <w:ilvl w:val="0"/>
                <w:numId w:val="4"/>
              </w:numPr>
              <w:suppressAutoHyphens w:val="0"/>
              <w:spacing w:after="160" w:line="259" w:lineRule="auto"/>
              <w:ind w:left="324"/>
              <w:jc w:val="left"/>
              <w:rPr>
                <w:rFonts w:cs="Calibri"/>
              </w:rPr>
            </w:pPr>
            <w:proofErr w:type="spellStart"/>
            <w:r w:rsidRPr="007F5E96">
              <w:rPr>
                <w:rFonts w:cs="Calibri"/>
              </w:rPr>
              <w:t>Περίοδο</w:t>
            </w:r>
            <w:proofErr w:type="spellEnd"/>
            <w:r w:rsidRPr="007F5E96">
              <w:rPr>
                <w:rFonts w:cs="Calibri"/>
              </w:rPr>
              <w:t xml:space="preserve"> </w:t>
            </w:r>
            <w:proofErr w:type="spellStart"/>
            <w:r w:rsidRPr="007F5E96">
              <w:rPr>
                <w:rFonts w:cs="Calibri"/>
              </w:rPr>
              <w:t>Εγγύησης</w:t>
            </w:r>
            <w:proofErr w:type="spellEnd"/>
            <w:r w:rsidRPr="007F5E96">
              <w:rPr>
                <w:rFonts w:cs="Calibri"/>
              </w:rPr>
              <w:t xml:space="preserve"> &gt;= 2 </w:t>
            </w:r>
            <w:proofErr w:type="spellStart"/>
            <w:r w:rsidRPr="007F5E96">
              <w:rPr>
                <w:rFonts w:cs="Calibri"/>
              </w:rPr>
              <w:t>έτη</w:t>
            </w:r>
            <w:proofErr w:type="spellEnd"/>
          </w:p>
          <w:p w:rsidR="006D3AD4" w:rsidRPr="007F5E96" w:rsidRDefault="006D3AD4" w:rsidP="006D3AD4">
            <w:pPr>
              <w:pStyle w:val="a4"/>
              <w:numPr>
                <w:ilvl w:val="0"/>
                <w:numId w:val="4"/>
              </w:numPr>
              <w:suppressAutoHyphens w:val="0"/>
              <w:spacing w:after="160" w:line="259" w:lineRule="auto"/>
              <w:ind w:left="324"/>
              <w:jc w:val="left"/>
              <w:rPr>
                <w:rFonts w:cs="Calibri"/>
              </w:rPr>
            </w:pPr>
            <w:proofErr w:type="spellStart"/>
            <w:r w:rsidRPr="007F5E96">
              <w:rPr>
                <w:rFonts w:cs="Calibri"/>
              </w:rPr>
              <w:t>Περίοδος</w:t>
            </w:r>
            <w:proofErr w:type="spellEnd"/>
            <w:r w:rsidRPr="007F5E96">
              <w:rPr>
                <w:rFonts w:cs="Calibri"/>
              </w:rPr>
              <w:t xml:space="preserve"> </w:t>
            </w:r>
            <w:proofErr w:type="spellStart"/>
            <w:r w:rsidRPr="007F5E96">
              <w:rPr>
                <w:rFonts w:cs="Calibri"/>
              </w:rPr>
              <w:t>Συντήρησης</w:t>
            </w:r>
            <w:proofErr w:type="spellEnd"/>
            <w:r w:rsidRPr="007F5E96">
              <w:rPr>
                <w:rFonts w:cs="Calibri"/>
              </w:rPr>
              <w:t xml:space="preserve"> 5 </w:t>
            </w:r>
            <w:proofErr w:type="spellStart"/>
            <w:r w:rsidRPr="007F5E96">
              <w:rPr>
                <w:rFonts w:cs="Calibri"/>
              </w:rPr>
              <w:t>έτη</w:t>
            </w:r>
            <w:proofErr w:type="spellEnd"/>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2.</w:t>
            </w:r>
          </w:p>
        </w:tc>
        <w:tc>
          <w:tcPr>
            <w:tcW w:w="4259" w:type="dxa"/>
            <w:shd w:val="clear" w:color="auto" w:fill="auto"/>
          </w:tcPr>
          <w:p w:rsidR="006D3AD4" w:rsidRPr="003950F1" w:rsidRDefault="006D3AD4" w:rsidP="00882818">
            <w:pPr>
              <w:rPr>
                <w:lang w:val="el-GR"/>
              </w:rPr>
            </w:pPr>
            <w:r w:rsidRPr="003950F1">
              <w:rPr>
                <w:lang w:val="el-GR"/>
              </w:rPr>
              <w:t>Ο Υποψήφιος Ανάδοχος θα πρέπει να καταθέσει στην Προσφορά του συγκεκριμένο πλαίσιο παροχής Υπηρεσιών Διαθεσιμότητας και Υποστήριξης, σύμφωνα με τα αναφερόμενα στο ΠΑΡΑΡΤΗΜΑ Ι, §5.1 «</w:t>
            </w:r>
            <w:bookmarkStart w:id="2" w:name="_Toc88489672"/>
            <w:r w:rsidRPr="003950F1">
              <w:rPr>
                <w:lang w:val="el-GR"/>
              </w:rPr>
              <w:t>Περίοδος &amp; Υπηρεσίες Εγγύησης Καλής Λειτουργίας</w:t>
            </w:r>
            <w:bookmarkEnd w:id="2"/>
            <w:r w:rsidRPr="003950F1">
              <w:rPr>
                <w:lang w:val="el-GR"/>
              </w:rPr>
              <w:t>»</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490"/>
        </w:trPr>
        <w:tc>
          <w:tcPr>
            <w:tcW w:w="556" w:type="dxa"/>
            <w:shd w:val="clear" w:color="auto" w:fill="auto"/>
          </w:tcPr>
          <w:p w:rsidR="006D3AD4" w:rsidRPr="00652220" w:rsidRDefault="006D3AD4" w:rsidP="00882818">
            <w:pPr>
              <w:jc w:val="center"/>
            </w:pPr>
            <w:r w:rsidRPr="00652220">
              <w:t>3.</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υπηρεσιών των περιόδων Εγγύησης και Συντήρησης όπως περιγράφονται στο ΠΑΡΑΡΤΗΜΑ Ι, §5.1 και §5.2</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1339"/>
        </w:trPr>
        <w:tc>
          <w:tcPr>
            <w:tcW w:w="556" w:type="dxa"/>
            <w:shd w:val="clear" w:color="auto" w:fill="auto"/>
            <w:vAlign w:val="center"/>
          </w:tcPr>
          <w:p w:rsidR="006D3AD4" w:rsidRPr="00652220" w:rsidRDefault="006D3AD4" w:rsidP="00882818">
            <w:pPr>
              <w:jc w:val="center"/>
            </w:pPr>
            <w:r w:rsidRPr="00652220">
              <w:t>4.</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διαθεσιμότητας, όπως αυτές περιγράφονται στο ΠΑΡΑΡΤΗΜΑ Ι, §5.3 «</w:t>
            </w:r>
            <w:bookmarkStart w:id="3" w:name="_Toc88489674"/>
            <w:r w:rsidRPr="003950F1">
              <w:rPr>
                <w:lang w:val="el-GR"/>
              </w:rPr>
              <w:t>Διαθεσιμότητα – Τήρηση εγγυημένου επιπέδου υπηρεσιών</w:t>
            </w:r>
            <w:bookmarkEnd w:id="3"/>
            <w:r w:rsidRPr="003950F1">
              <w:rPr>
                <w:lang w:val="el-GR"/>
              </w:rPr>
              <w:t>»</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557"/>
        </w:trPr>
        <w:tc>
          <w:tcPr>
            <w:tcW w:w="556" w:type="dxa"/>
            <w:shd w:val="clear" w:color="auto" w:fill="auto"/>
            <w:vAlign w:val="center"/>
          </w:tcPr>
          <w:p w:rsidR="006D3AD4" w:rsidRPr="00652220" w:rsidRDefault="006D3AD4" w:rsidP="00882818">
            <w:pPr>
              <w:jc w:val="center"/>
            </w:pPr>
            <w:r w:rsidRPr="00652220">
              <w:t>5.</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παροχής πλαισίου εγγυημένου επιπέδου υπηρεσιών Τεχνικής Υποστήριξης, όπως περιγράφονται στο ΠΑΡΑΡΤΗΜΑ Ι, §5.4 «</w:t>
            </w:r>
            <w:bookmarkStart w:id="4" w:name="_Toc88489675"/>
            <w:r w:rsidRPr="003950F1">
              <w:rPr>
                <w:lang w:val="el-GR"/>
              </w:rPr>
              <w:t>Πλαίσιο Εγγυημένου Επιπέδου Υπηρεσιών Τεχνικής Υποστήριξης</w:t>
            </w:r>
            <w:bookmarkEnd w:id="4"/>
            <w:r w:rsidRPr="003950F1">
              <w:rPr>
                <w:lang w:val="el-GR"/>
              </w:rPr>
              <w:t>»</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bookmarkStart w:id="5" w:name="_GoBack"/>
        <w:bookmarkEnd w:id="5"/>
      </w:tr>
      <w:tr w:rsidR="006D3AD4" w:rsidRPr="00652220" w:rsidTr="00882818">
        <w:trPr>
          <w:trHeight w:val="1220"/>
        </w:trPr>
        <w:tc>
          <w:tcPr>
            <w:tcW w:w="556" w:type="dxa"/>
            <w:shd w:val="clear" w:color="auto" w:fill="auto"/>
            <w:vAlign w:val="center"/>
          </w:tcPr>
          <w:p w:rsidR="006D3AD4" w:rsidRPr="00652220" w:rsidRDefault="006D3AD4" w:rsidP="00882818">
            <w:pPr>
              <w:jc w:val="center"/>
            </w:pPr>
            <w:r w:rsidRPr="00652220">
              <w:t>6.</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υπηρεσιών Τεχνικής Υποστήριξης, όπως περιγράφονται στο ΠΑΡΑΡΤΗΜΑ Ι, §5.5 «Υπηρεσίες Τεχνικής Υποστήριξης»</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1749"/>
        </w:trPr>
        <w:tc>
          <w:tcPr>
            <w:tcW w:w="556" w:type="dxa"/>
            <w:shd w:val="clear" w:color="auto" w:fill="auto"/>
            <w:vAlign w:val="center"/>
          </w:tcPr>
          <w:p w:rsidR="006D3AD4" w:rsidRPr="00652220" w:rsidRDefault="006D3AD4" w:rsidP="00882818">
            <w:pPr>
              <w:jc w:val="center"/>
            </w:pPr>
            <w:r w:rsidRPr="00652220">
              <w:lastRenderedPageBreak/>
              <w:t>7.</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επιτρεπόμενων Προγραμματισμένων Διακοπών Υπηρεσίας, όπως περιγράφονται στο ΠΑΡΑΡΤΗΜΑ Ι, §5.6 «</w:t>
            </w:r>
            <w:bookmarkStart w:id="6" w:name="_Toc88489677"/>
            <w:r w:rsidRPr="003950F1">
              <w:rPr>
                <w:lang w:val="el-GR"/>
              </w:rPr>
              <w:t>Προγραμματισμένες Διακοπές Υπηρεσίας (</w:t>
            </w:r>
            <w:r w:rsidRPr="00652220">
              <w:t>Planned</w:t>
            </w:r>
            <w:r w:rsidRPr="003950F1">
              <w:rPr>
                <w:lang w:val="el-GR"/>
              </w:rPr>
              <w:t xml:space="preserve"> </w:t>
            </w:r>
            <w:r w:rsidRPr="00652220">
              <w:t>Outages</w:t>
            </w:r>
            <w:r w:rsidRPr="003950F1">
              <w:rPr>
                <w:lang w:val="el-GR"/>
              </w:rPr>
              <w:t>)</w:t>
            </w:r>
            <w:bookmarkEnd w:id="6"/>
            <w:r w:rsidRPr="003950F1">
              <w:rPr>
                <w:lang w:val="el-GR"/>
              </w:rPr>
              <w:t>»</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1455"/>
        </w:trPr>
        <w:tc>
          <w:tcPr>
            <w:tcW w:w="556" w:type="dxa"/>
            <w:shd w:val="clear" w:color="auto" w:fill="auto"/>
            <w:vAlign w:val="center"/>
          </w:tcPr>
          <w:p w:rsidR="006D3AD4" w:rsidRPr="00652220" w:rsidRDefault="006D3AD4" w:rsidP="00882818">
            <w:pPr>
              <w:jc w:val="center"/>
            </w:pPr>
            <w:r w:rsidRPr="00652220">
              <w:t>8.</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διάθεσης γραφείου Τεχνικής Υποστήριξης, όπως περιγράφονται στο ΠΑΡΑΡΤΗΜΑ Ι, §5.7 «</w:t>
            </w:r>
            <w:bookmarkStart w:id="7" w:name="_Toc88489678"/>
            <w:r w:rsidRPr="003950F1">
              <w:rPr>
                <w:lang w:val="el-GR"/>
              </w:rPr>
              <w:t>Γραφείο Τεχνικής Υποστήριξης (</w:t>
            </w:r>
            <w:r w:rsidRPr="00652220">
              <w:t>Help</w:t>
            </w:r>
            <w:r w:rsidRPr="003950F1">
              <w:rPr>
                <w:lang w:val="el-GR"/>
              </w:rPr>
              <w:t xml:space="preserve"> </w:t>
            </w:r>
            <w:r w:rsidRPr="00652220">
              <w:t>Desk</w:t>
            </w:r>
            <w:r w:rsidRPr="003950F1">
              <w:rPr>
                <w:lang w:val="el-GR"/>
              </w:rPr>
              <w:t>)</w:t>
            </w:r>
            <w:bookmarkEnd w:id="7"/>
            <w:r w:rsidRPr="003950F1">
              <w:rPr>
                <w:lang w:val="el-GR"/>
              </w:rPr>
              <w:t>»</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1455"/>
        </w:trPr>
        <w:tc>
          <w:tcPr>
            <w:tcW w:w="556" w:type="dxa"/>
            <w:shd w:val="clear" w:color="auto" w:fill="auto"/>
            <w:vAlign w:val="center"/>
          </w:tcPr>
          <w:p w:rsidR="006D3AD4" w:rsidRPr="00652220" w:rsidRDefault="006D3AD4" w:rsidP="00882818">
            <w:pPr>
              <w:jc w:val="center"/>
            </w:pPr>
            <w:r w:rsidRPr="00652220">
              <w:t>9.</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Συντήρησης και Τεχνικής Υποστήριξης Λογισμικού και έτοιμων πακέτων λογισμικού, όπως περιγράφονται στο ΠΑΡΑΡΤΗΜΑ Ι, §5.8 «Συντήρηση - Τεχνική Υποστήριξη Λογισμικού και έτοιμων πακέτων Λογισμικού»</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1417"/>
        </w:trPr>
        <w:tc>
          <w:tcPr>
            <w:tcW w:w="556" w:type="dxa"/>
            <w:shd w:val="clear" w:color="auto" w:fill="auto"/>
            <w:vAlign w:val="center"/>
          </w:tcPr>
          <w:p w:rsidR="006D3AD4" w:rsidRPr="00652220" w:rsidRDefault="006D3AD4" w:rsidP="00882818">
            <w:pPr>
              <w:jc w:val="center"/>
              <w:rPr>
                <w:lang w:val="en-US"/>
              </w:rPr>
            </w:pPr>
            <w:r w:rsidRPr="00652220">
              <w:rPr>
                <w:lang w:val="en-US"/>
              </w:rPr>
              <w:t>10.</w:t>
            </w:r>
          </w:p>
        </w:tc>
        <w:tc>
          <w:tcPr>
            <w:tcW w:w="4259" w:type="dxa"/>
            <w:shd w:val="clear" w:color="auto" w:fill="auto"/>
          </w:tcPr>
          <w:p w:rsidR="006D3AD4" w:rsidRPr="003950F1" w:rsidRDefault="006D3AD4" w:rsidP="00882818">
            <w:pPr>
              <w:rPr>
                <w:lang w:val="el-GR"/>
              </w:rPr>
            </w:pPr>
            <w:r w:rsidRPr="003950F1">
              <w:rPr>
                <w:lang w:val="el-GR"/>
              </w:rPr>
              <w:t>Συμμόρφωση με τις απαιτήσεις διάθεσης των απαραίτητων εγχειριδίων και τεκμηρίωσης, όπως περιγράφονται στο ΠΑΡΑΡΤΗΜΑ Ι, §5.9 «Ενημερωτικά εγχειρίδια και τεκμηρίωση»</w:t>
            </w:r>
          </w:p>
        </w:tc>
        <w:tc>
          <w:tcPr>
            <w:tcW w:w="1751" w:type="dxa"/>
            <w:gridSpan w:val="2"/>
            <w:shd w:val="clear" w:color="auto" w:fill="auto"/>
          </w:tcPr>
          <w:p w:rsidR="006D3AD4" w:rsidRPr="00652220" w:rsidRDefault="006D3AD4" w:rsidP="00882818">
            <w:pPr>
              <w:jc w:val="center"/>
            </w:pPr>
            <w:r w:rsidRPr="00652220">
              <w:t>ΝΑΙ</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r w:rsidR="006D3AD4" w:rsidRPr="00652220" w:rsidTr="00882818">
        <w:trPr>
          <w:trHeight w:val="267"/>
        </w:trPr>
        <w:tc>
          <w:tcPr>
            <w:tcW w:w="9698" w:type="dxa"/>
            <w:gridSpan w:val="6"/>
            <w:shd w:val="clear" w:color="auto" w:fill="auto"/>
          </w:tcPr>
          <w:p w:rsidR="006D3AD4" w:rsidRPr="00652220" w:rsidRDefault="006D3AD4" w:rsidP="00882818">
            <w:pPr>
              <w:spacing w:before="120"/>
              <w:rPr>
                <w:b/>
              </w:rPr>
            </w:pPr>
            <w:r w:rsidRPr="00652220">
              <w:rPr>
                <w:b/>
              </w:rPr>
              <w:t xml:space="preserve">Η. </w:t>
            </w:r>
            <w:proofErr w:type="spellStart"/>
            <w:r w:rsidRPr="00652220">
              <w:rPr>
                <w:b/>
              </w:rPr>
              <w:t>Τήρηση</w:t>
            </w:r>
            <w:proofErr w:type="spellEnd"/>
            <w:r w:rsidRPr="00652220">
              <w:rPr>
                <w:b/>
              </w:rPr>
              <w:t xml:space="preserve"> Κα</w:t>
            </w:r>
            <w:proofErr w:type="spellStart"/>
            <w:r w:rsidRPr="00652220">
              <w:rPr>
                <w:b/>
              </w:rPr>
              <w:t>νόνων</w:t>
            </w:r>
            <w:proofErr w:type="spellEnd"/>
            <w:r w:rsidRPr="00652220">
              <w:rPr>
                <w:b/>
              </w:rPr>
              <w:t xml:space="preserve"> </w:t>
            </w:r>
            <w:proofErr w:type="spellStart"/>
            <w:r w:rsidRPr="00652220">
              <w:rPr>
                <w:b/>
              </w:rPr>
              <w:t>Δημοσιότητ</w:t>
            </w:r>
            <w:proofErr w:type="spellEnd"/>
            <w:r w:rsidRPr="00652220">
              <w:rPr>
                <w:b/>
              </w:rPr>
              <w:t>ας</w:t>
            </w:r>
          </w:p>
        </w:tc>
      </w:tr>
      <w:tr w:rsidR="006D3AD4" w:rsidRPr="00652220" w:rsidTr="00882818">
        <w:trPr>
          <w:trHeight w:val="267"/>
        </w:trPr>
        <w:tc>
          <w:tcPr>
            <w:tcW w:w="556" w:type="dxa"/>
            <w:shd w:val="clear" w:color="auto" w:fill="auto"/>
          </w:tcPr>
          <w:p w:rsidR="006D3AD4" w:rsidRPr="00652220" w:rsidRDefault="006D3AD4" w:rsidP="00882818">
            <w:pPr>
              <w:jc w:val="center"/>
            </w:pPr>
            <w:r w:rsidRPr="00652220">
              <w:t>1.</w:t>
            </w:r>
          </w:p>
        </w:tc>
        <w:tc>
          <w:tcPr>
            <w:tcW w:w="4310" w:type="dxa"/>
            <w:gridSpan w:val="2"/>
            <w:shd w:val="clear" w:color="auto" w:fill="auto"/>
          </w:tcPr>
          <w:p w:rsidR="006D3AD4" w:rsidRPr="003950F1" w:rsidRDefault="006D3AD4" w:rsidP="00882818">
            <w:pPr>
              <w:rPr>
                <w:lang w:val="el-GR"/>
              </w:rPr>
            </w:pPr>
            <w:r>
              <w:rPr>
                <w:lang w:val="el-GR"/>
              </w:rPr>
              <w:t xml:space="preserve">Συμμόρφωση </w:t>
            </w:r>
            <w:r w:rsidRPr="003950F1">
              <w:rPr>
                <w:lang w:val="el-GR"/>
              </w:rPr>
              <w:t xml:space="preserve">με </w:t>
            </w:r>
            <w:r>
              <w:rPr>
                <w:lang w:val="el-GR"/>
              </w:rPr>
              <w:t xml:space="preserve">τις υποχρεώσεις που αναφέρονται </w:t>
            </w:r>
            <w:r w:rsidRPr="003950F1">
              <w:rPr>
                <w:lang w:val="el-GR"/>
              </w:rPr>
              <w:t xml:space="preserve">στο ΠΑΡΑΡΤΗΜΑ </w:t>
            </w:r>
            <w:r w:rsidRPr="00652220">
              <w:rPr>
                <w:lang w:val="en-US"/>
              </w:rPr>
              <w:t>VI</w:t>
            </w:r>
            <w:r>
              <w:rPr>
                <w:lang w:val="el-GR"/>
              </w:rPr>
              <w:t xml:space="preserve"> «Υποχρεώσεις </w:t>
            </w:r>
            <w:r w:rsidRPr="003950F1">
              <w:rPr>
                <w:lang w:val="el-GR"/>
              </w:rPr>
              <w:t>Τήρησης Κανόνων Δημοσιότητας»</w:t>
            </w:r>
          </w:p>
        </w:tc>
        <w:tc>
          <w:tcPr>
            <w:tcW w:w="1700" w:type="dxa"/>
            <w:shd w:val="clear" w:color="auto" w:fill="auto"/>
          </w:tcPr>
          <w:p w:rsidR="006D3AD4" w:rsidRPr="00652220" w:rsidRDefault="006D3AD4" w:rsidP="00882818">
            <w:pPr>
              <w:jc w:val="center"/>
            </w:pPr>
            <w:r w:rsidRPr="00652220">
              <w:t>NAI</w:t>
            </w:r>
          </w:p>
        </w:tc>
        <w:tc>
          <w:tcPr>
            <w:tcW w:w="1526" w:type="dxa"/>
            <w:shd w:val="clear" w:color="auto" w:fill="auto"/>
          </w:tcPr>
          <w:p w:rsidR="006D3AD4" w:rsidRPr="00652220" w:rsidRDefault="006D3AD4" w:rsidP="00882818"/>
        </w:tc>
        <w:tc>
          <w:tcPr>
            <w:tcW w:w="1606" w:type="dxa"/>
            <w:shd w:val="clear" w:color="auto" w:fill="auto"/>
          </w:tcPr>
          <w:p w:rsidR="006D3AD4" w:rsidRPr="00652220" w:rsidRDefault="006D3AD4" w:rsidP="00882818"/>
        </w:tc>
      </w:tr>
    </w:tbl>
    <w:p w:rsidR="006D3AD4" w:rsidRDefault="006D3AD4" w:rsidP="006D3AD4">
      <w:pPr>
        <w:suppressAutoHyphens w:val="0"/>
        <w:autoSpaceDE w:val="0"/>
        <w:spacing w:after="60"/>
        <w:rPr>
          <w:rFonts w:eastAsia="SimSun"/>
          <w:i/>
          <w:iCs/>
          <w:color w:val="5B9BD5"/>
          <w:szCs w:val="22"/>
          <w:lang w:val="el-GR"/>
        </w:rPr>
      </w:pPr>
    </w:p>
    <w:p w:rsidR="006D3AD4" w:rsidRPr="006B2C94" w:rsidRDefault="006D3AD4" w:rsidP="006D3AD4">
      <w:pPr>
        <w:suppressAutoHyphens w:val="0"/>
        <w:autoSpaceDE w:val="0"/>
        <w:spacing w:after="60"/>
        <w:rPr>
          <w:lang w:val="el-GR"/>
        </w:rPr>
      </w:pPr>
    </w:p>
    <w:p w:rsidR="007247A6" w:rsidRDefault="007247A6"/>
    <w:sectPr w:rsidR="007247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1CAC"/>
    <w:multiLevelType w:val="hybridMultilevel"/>
    <w:tmpl w:val="3F3685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09060A"/>
    <w:multiLevelType w:val="hybridMultilevel"/>
    <w:tmpl w:val="BF0CB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11868EA"/>
    <w:multiLevelType w:val="hybridMultilevel"/>
    <w:tmpl w:val="6F1887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CF3FC1"/>
    <w:multiLevelType w:val="hybridMultilevel"/>
    <w:tmpl w:val="37843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D4"/>
    <w:rsid w:val="00053953"/>
    <w:rsid w:val="006D3AD4"/>
    <w:rsid w:val="007247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D957-5257-4EDB-8CB2-3E9006C2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A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D3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2. Επικεφαλίδα"/>
    <w:basedOn w:val="1"/>
    <w:next w:val="a"/>
    <w:link w:val="2Char"/>
    <w:qFormat/>
    <w:rsid w:val="006D3AD4"/>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2. Επικεφαλίδα Char"/>
    <w:basedOn w:val="a0"/>
    <w:link w:val="2"/>
    <w:rsid w:val="006D3AD4"/>
    <w:rPr>
      <w:rFonts w:ascii="Arial" w:eastAsia="Times New Roman" w:hAnsi="Arial" w:cs="Times New Roman"/>
      <w:b/>
      <w:color w:val="002060"/>
      <w:sz w:val="24"/>
      <w:lang w:val="en-GB" w:eastAsia="zh-CN"/>
    </w:rPr>
  </w:style>
  <w:style w:type="paragraph" w:styleId="a3">
    <w:name w:val="Body Text"/>
    <w:basedOn w:val="a"/>
    <w:link w:val="Char"/>
    <w:uiPriority w:val="1"/>
    <w:qFormat/>
    <w:rsid w:val="006D3AD4"/>
    <w:pPr>
      <w:spacing w:after="240"/>
    </w:pPr>
    <w:rPr>
      <w:rFonts w:cs="Times New Roman"/>
    </w:rPr>
  </w:style>
  <w:style w:type="character" w:customStyle="1" w:styleId="Char">
    <w:name w:val="Σώμα κειμένου Char"/>
    <w:basedOn w:val="a0"/>
    <w:link w:val="a3"/>
    <w:uiPriority w:val="1"/>
    <w:rsid w:val="006D3AD4"/>
    <w:rPr>
      <w:rFonts w:ascii="Calibri" w:eastAsia="Times New Roman" w:hAnsi="Calibri" w:cs="Times New Roman"/>
      <w:szCs w:val="24"/>
      <w:lang w:val="en-GB" w:eastAsia="zh-CN"/>
    </w:rPr>
  </w:style>
  <w:style w:type="paragraph" w:styleId="a4">
    <w:name w:val="List Paragraph"/>
    <w:aliases w:val="Bullet List,FooterText,numbered,Paragraphe de liste1,lp1,Bullet21,Bullet22,Bullet23,Bullet211,Bullet24,Bullet25,Bullet26,Bullet27,bl11,Bullet212,Bullet28,bl12,Bullet213,Bullet29,bl13,Bullet214,Bullet210,Bullet215,Itemize"/>
    <w:basedOn w:val="a"/>
    <w:link w:val="Char0"/>
    <w:uiPriority w:val="34"/>
    <w:qFormat/>
    <w:rsid w:val="006D3AD4"/>
    <w:pPr>
      <w:spacing w:after="200"/>
      <w:ind w:left="720"/>
      <w:contextualSpacing/>
    </w:pPr>
    <w:rPr>
      <w:rFonts w:cs="Times New Roman"/>
    </w:rPr>
  </w:style>
  <w:style w:type="character" w:customStyle="1" w:styleId="Char0">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4"/>
    <w:uiPriority w:val="34"/>
    <w:rsid w:val="006D3AD4"/>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6D3AD4"/>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5451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1</cp:revision>
  <dcterms:created xsi:type="dcterms:W3CDTF">2022-10-11T10:05:00Z</dcterms:created>
  <dcterms:modified xsi:type="dcterms:W3CDTF">2022-10-11T10:24:00Z</dcterms:modified>
</cp:coreProperties>
</file>