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E2" w:rsidRDefault="00692BE2" w:rsidP="00692BE2">
      <w:pPr>
        <w:pStyle w:val="1"/>
        <w:numPr>
          <w:ilvl w:val="0"/>
          <w:numId w:val="0"/>
        </w:numPr>
        <w:pBdr>
          <w:bottom w:val="single" w:sz="8" w:space="0" w:color="4F81BD" w:themeColor="accent1"/>
        </w:pBdr>
        <w:tabs>
          <w:tab w:val="clear" w:pos="1134"/>
        </w:tabs>
        <w:rPr>
          <w:rFonts w:cstheme="minorHAnsi"/>
          <w:color w:val="365F91" w:themeColor="accent1" w:themeShade="BF"/>
          <w:sz w:val="20"/>
          <w:szCs w:val="20"/>
        </w:rPr>
      </w:pPr>
      <w:bookmarkStart w:id="0" w:name="_Toc519766477"/>
      <w:r>
        <w:rPr>
          <w:color w:val="365F91" w:themeColor="accent1" w:themeShade="BF"/>
          <w:sz w:val="20"/>
          <w:szCs w:val="20"/>
        </w:rPr>
        <w:t xml:space="preserve">ΠΑΡΑΡΤΗΜΑ Β΄: </w:t>
      </w:r>
      <w:r w:rsidRPr="008C3D9C">
        <w:rPr>
          <w:color w:val="365F91" w:themeColor="accent1" w:themeShade="BF"/>
          <w:sz w:val="20"/>
          <w:szCs w:val="20"/>
        </w:rPr>
        <w:t>ΠΙΝΑΚΑΣ ΣΥΜΜΟΡΦΩΣΗΣ</w:t>
      </w:r>
      <w:r w:rsidRPr="008C3D9C">
        <w:rPr>
          <w:rFonts w:cstheme="minorHAnsi"/>
          <w:color w:val="365F91" w:themeColor="accent1" w:themeShade="BF"/>
          <w:sz w:val="20"/>
          <w:szCs w:val="20"/>
        </w:rPr>
        <w:t xml:space="preserve">  </w:t>
      </w:r>
      <w:r>
        <w:rPr>
          <w:rFonts w:cstheme="minorHAnsi"/>
          <w:color w:val="365F91" w:themeColor="accent1" w:themeShade="BF"/>
          <w:sz w:val="20"/>
          <w:szCs w:val="20"/>
        </w:rPr>
        <w:t>ΤΕΧΝΙΚΗΣ</w:t>
      </w:r>
      <w:r w:rsidRPr="008C3D9C">
        <w:rPr>
          <w:rFonts w:cstheme="minorHAnsi"/>
          <w:color w:val="365F91" w:themeColor="accent1" w:themeShade="BF"/>
          <w:sz w:val="20"/>
          <w:szCs w:val="20"/>
        </w:rPr>
        <w:t xml:space="preserve"> </w:t>
      </w:r>
      <w:bookmarkEnd w:id="0"/>
      <w:r>
        <w:rPr>
          <w:rFonts w:cstheme="minorHAnsi"/>
          <w:color w:val="365F91" w:themeColor="accent1" w:themeShade="BF"/>
          <w:sz w:val="20"/>
          <w:szCs w:val="20"/>
        </w:rPr>
        <w:t>ΠΡΟΣΦΟΡΑΣ</w:t>
      </w:r>
      <w:r w:rsidRPr="008C3D9C">
        <w:rPr>
          <w:rFonts w:cstheme="minorHAnsi"/>
          <w:color w:val="365F91" w:themeColor="accent1" w:themeShade="BF"/>
          <w:sz w:val="20"/>
          <w:szCs w:val="20"/>
        </w:rPr>
        <w:t xml:space="preserve">                                                                                                          </w:t>
      </w:r>
    </w:p>
    <w:p w:rsidR="00692BE2" w:rsidRPr="00841500" w:rsidRDefault="00692BE2" w:rsidP="00692BE2">
      <w:pPr>
        <w:rPr>
          <w:rFonts w:cstheme="minorHAnsi"/>
          <w:b/>
          <w:color w:val="365F91" w:themeColor="accent1" w:themeShade="BF"/>
          <w:sz w:val="20"/>
          <w:szCs w:val="20"/>
        </w:rPr>
      </w:pPr>
      <w:r w:rsidRPr="00841500">
        <w:rPr>
          <w:rFonts w:cstheme="minorHAnsi"/>
          <w:b/>
          <w:color w:val="365F91" w:themeColor="accent1" w:themeShade="BF"/>
          <w:sz w:val="20"/>
          <w:szCs w:val="20"/>
        </w:rPr>
        <w:t xml:space="preserve">ανήκει στην υπ’ αρ. </w:t>
      </w:r>
      <w:proofErr w:type="spellStart"/>
      <w:r w:rsidRPr="00841500">
        <w:rPr>
          <w:rFonts w:cstheme="minorHAnsi"/>
          <w:b/>
          <w:color w:val="365F91" w:themeColor="accent1" w:themeShade="BF"/>
          <w:sz w:val="20"/>
          <w:szCs w:val="20"/>
        </w:rPr>
        <w:t>πρωτ</w:t>
      </w:r>
      <w:proofErr w:type="spellEnd"/>
      <w:r w:rsidRPr="00841500">
        <w:rPr>
          <w:rFonts w:cstheme="minorHAnsi"/>
          <w:b/>
          <w:color w:val="365F91" w:themeColor="accent1" w:themeShade="BF"/>
          <w:sz w:val="20"/>
          <w:szCs w:val="20"/>
        </w:rPr>
        <w:t>. ............................................................ Διακήρυξη</w:t>
      </w:r>
    </w:p>
    <w:p w:rsidR="00692BE2" w:rsidRDefault="00692BE2" w:rsidP="00692BE2">
      <w:pPr>
        <w:rPr>
          <w:lang w:eastAsia="ar-SA"/>
        </w:rPr>
      </w:pPr>
    </w:p>
    <w:tbl>
      <w:tblPr>
        <w:tblStyle w:val="a3"/>
        <w:tblW w:w="0" w:type="auto"/>
        <w:tblInd w:w="108" w:type="dxa"/>
        <w:tblLook w:val="04A0"/>
      </w:tblPr>
      <w:tblGrid>
        <w:gridCol w:w="610"/>
        <w:gridCol w:w="7804"/>
      </w:tblGrid>
      <w:tr w:rsidR="00692BE2" w:rsidTr="004E6740">
        <w:tc>
          <w:tcPr>
            <w:tcW w:w="610"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692BE2" w:rsidRPr="00AD1BE2" w:rsidRDefault="00692BE2" w:rsidP="004E6740">
            <w:pPr>
              <w:rPr>
                <w:b/>
                <w:sz w:val="24"/>
                <w:szCs w:val="24"/>
              </w:rPr>
            </w:pPr>
            <w:r w:rsidRPr="00AD1BE2">
              <w:rPr>
                <w:b/>
                <w:sz w:val="24"/>
                <w:szCs w:val="24"/>
              </w:rPr>
              <w:t>Α/Α</w:t>
            </w:r>
          </w:p>
        </w:tc>
        <w:tc>
          <w:tcPr>
            <w:tcW w:w="907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692BE2" w:rsidRPr="00AD1BE2" w:rsidRDefault="00692BE2" w:rsidP="004E6740">
            <w:pPr>
              <w:jc w:val="center"/>
              <w:rPr>
                <w:b/>
                <w:sz w:val="24"/>
                <w:szCs w:val="24"/>
              </w:rPr>
            </w:pPr>
            <w:r w:rsidRPr="00AD1BE2">
              <w:rPr>
                <w:b/>
                <w:sz w:val="24"/>
                <w:szCs w:val="24"/>
              </w:rPr>
              <w:t>ΠΕΡΙΓΡΑΦΗ</w:t>
            </w:r>
          </w:p>
        </w:tc>
      </w:tr>
      <w:tr w:rsidR="00692BE2" w:rsidRPr="0007440E" w:rsidTr="004E6740">
        <w:trPr>
          <w:trHeight w:val="88"/>
        </w:trPr>
        <w:tc>
          <w:tcPr>
            <w:tcW w:w="9682"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692BE2" w:rsidRPr="004F1FF3" w:rsidRDefault="00692BE2" w:rsidP="004E6740">
            <w:pPr>
              <w:jc w:val="center"/>
              <w:rPr>
                <w:b/>
                <w:sz w:val="24"/>
                <w:szCs w:val="24"/>
              </w:rPr>
            </w:pPr>
            <w:r w:rsidRPr="004F1FF3">
              <w:rPr>
                <w:b/>
                <w:sz w:val="24"/>
                <w:szCs w:val="24"/>
              </w:rPr>
              <w:t>ΓΕΝΙΚΑ ΧΑΡΑΚΤΗΡΙΣΤΙΚΑ</w:t>
            </w:r>
          </w:p>
        </w:tc>
      </w:tr>
      <w:tr w:rsidR="00692BE2" w:rsidRPr="00E802E0" w:rsidTr="004E6740">
        <w:trPr>
          <w:trHeight w:val="200"/>
        </w:trPr>
        <w:tc>
          <w:tcPr>
            <w:tcW w:w="610" w:type="dxa"/>
            <w:tcBorders>
              <w:top w:val="single" w:sz="18" w:space="0" w:color="auto"/>
              <w:left w:val="single" w:sz="18" w:space="0" w:color="auto"/>
              <w:bottom w:val="single" w:sz="18" w:space="0" w:color="auto"/>
              <w:right w:val="single" w:sz="18" w:space="0" w:color="auto"/>
            </w:tcBorders>
          </w:tcPr>
          <w:p w:rsidR="00692BE2" w:rsidRPr="00F805EA" w:rsidRDefault="00692BE2" w:rsidP="004E6740">
            <w:pPr>
              <w:rPr>
                <w:b/>
              </w:rPr>
            </w:pPr>
            <w:r w:rsidRPr="00F805EA">
              <w:rPr>
                <w:b/>
              </w:rPr>
              <w:t>1.</w:t>
            </w:r>
          </w:p>
        </w:tc>
        <w:tc>
          <w:tcPr>
            <w:tcW w:w="9072" w:type="dxa"/>
            <w:tcBorders>
              <w:top w:val="single" w:sz="18" w:space="0" w:color="auto"/>
              <w:left w:val="single" w:sz="18" w:space="0" w:color="auto"/>
              <w:bottom w:val="single" w:sz="18" w:space="0" w:color="auto"/>
              <w:right w:val="single" w:sz="18" w:space="0" w:color="auto"/>
            </w:tcBorders>
          </w:tcPr>
          <w:p w:rsidR="00692BE2" w:rsidRPr="00F15288" w:rsidRDefault="00692BE2" w:rsidP="004E6740">
            <w:pPr>
              <w:rPr>
                <w:color w:val="1F497D" w:themeColor="text2"/>
                <w:sz w:val="24"/>
                <w:szCs w:val="24"/>
              </w:rPr>
            </w:pPr>
            <w:r>
              <w:rPr>
                <w:rFonts w:cs="ArialMT"/>
                <w:color w:val="000000"/>
              </w:rPr>
              <w:t xml:space="preserve">Υπηρεσίες διερμηνείας </w:t>
            </w:r>
          </w:p>
        </w:tc>
      </w:tr>
      <w:tr w:rsidR="00692BE2" w:rsidRPr="00E802E0" w:rsidTr="004E6740">
        <w:tc>
          <w:tcPr>
            <w:tcW w:w="610" w:type="dxa"/>
            <w:tcBorders>
              <w:top w:val="single" w:sz="18" w:space="0" w:color="auto"/>
              <w:left w:val="single" w:sz="18" w:space="0" w:color="auto"/>
              <w:bottom w:val="single" w:sz="18" w:space="0" w:color="auto"/>
              <w:right w:val="single" w:sz="18" w:space="0" w:color="auto"/>
            </w:tcBorders>
          </w:tcPr>
          <w:p w:rsidR="00692BE2" w:rsidRPr="00F805EA" w:rsidRDefault="00692BE2" w:rsidP="004E6740">
            <w:pPr>
              <w:rPr>
                <w:b/>
              </w:rPr>
            </w:pPr>
            <w:r w:rsidRPr="00F805EA">
              <w:rPr>
                <w:b/>
              </w:rPr>
              <w:t>2.</w:t>
            </w:r>
          </w:p>
        </w:tc>
        <w:tc>
          <w:tcPr>
            <w:tcW w:w="9072" w:type="dxa"/>
            <w:tcBorders>
              <w:top w:val="single" w:sz="18" w:space="0" w:color="auto"/>
              <w:left w:val="single" w:sz="18" w:space="0" w:color="auto"/>
              <w:bottom w:val="single" w:sz="18" w:space="0" w:color="auto"/>
              <w:right w:val="single" w:sz="18" w:space="0" w:color="auto"/>
            </w:tcBorders>
          </w:tcPr>
          <w:p w:rsidR="00692BE2" w:rsidRPr="000A6528" w:rsidRDefault="00692BE2" w:rsidP="004E6740">
            <w:pPr>
              <w:jc w:val="both"/>
              <w:rPr>
                <w:rFonts w:cs="ArialMT"/>
                <w:color w:val="000000"/>
              </w:rPr>
            </w:pPr>
            <w:r>
              <w:rPr>
                <w:rFonts w:cs="ArialMT"/>
                <w:color w:val="000000"/>
              </w:rPr>
              <w:t xml:space="preserve">Θα καλύψουν τις 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 Ο ανάδοχος θα πρέπει να ανταποκρίνεται  </w:t>
            </w:r>
            <w:r>
              <w:t>στην παροχή υπηρεσιών διερμηνείας καθ όλη την διάρκεια της εβδομάδας κατόπιν συνεννόησης με το γραφείο του Διοικητή της Ανεξάρτητης Αρχής Δημοσίων Εσόδων ως προς την συγκεκριμενοποίηση των ωρών.</w:t>
            </w:r>
          </w:p>
        </w:tc>
      </w:tr>
      <w:tr w:rsidR="00692BE2" w:rsidRPr="00E802E0" w:rsidTr="004E6740">
        <w:tc>
          <w:tcPr>
            <w:tcW w:w="610" w:type="dxa"/>
            <w:tcBorders>
              <w:top w:val="single" w:sz="18" w:space="0" w:color="auto"/>
              <w:left w:val="single" w:sz="18" w:space="0" w:color="auto"/>
              <w:bottom w:val="single" w:sz="18" w:space="0" w:color="auto"/>
              <w:right w:val="single" w:sz="18" w:space="0" w:color="auto"/>
            </w:tcBorders>
          </w:tcPr>
          <w:p w:rsidR="00692BE2" w:rsidRPr="00EB2C23" w:rsidRDefault="00692BE2" w:rsidP="004E6740">
            <w:pPr>
              <w:rPr>
                <w:b/>
              </w:rPr>
            </w:pPr>
            <w:r>
              <w:rPr>
                <w:b/>
              </w:rPr>
              <w:t>3</w:t>
            </w:r>
            <w:r w:rsidRPr="00EB2C23">
              <w:rPr>
                <w:b/>
              </w:rPr>
              <w:t>.</w:t>
            </w:r>
          </w:p>
        </w:tc>
        <w:tc>
          <w:tcPr>
            <w:tcW w:w="9072" w:type="dxa"/>
            <w:tcBorders>
              <w:top w:val="single" w:sz="18" w:space="0" w:color="auto"/>
              <w:left w:val="single" w:sz="18" w:space="0" w:color="auto"/>
              <w:bottom w:val="single" w:sz="18" w:space="0" w:color="auto"/>
              <w:right w:val="single" w:sz="18" w:space="0" w:color="auto"/>
            </w:tcBorders>
          </w:tcPr>
          <w:p w:rsidR="00692BE2" w:rsidRPr="00F15288" w:rsidRDefault="00692BE2" w:rsidP="004E6740">
            <w:pPr>
              <w:rPr>
                <w:color w:val="1F497D" w:themeColor="text2"/>
                <w:sz w:val="24"/>
                <w:szCs w:val="24"/>
              </w:rPr>
            </w:pPr>
            <w:r>
              <w:rPr>
                <w:rFonts w:cs="ArialMT"/>
              </w:rPr>
              <w:t>Διερμηνεία από και προς Ελληνικά-Αγγλικά και Ελληνικά-Γαλλικά</w:t>
            </w:r>
          </w:p>
        </w:tc>
      </w:tr>
      <w:tr w:rsidR="00692BE2" w:rsidRPr="00E802E0" w:rsidTr="004E6740">
        <w:tc>
          <w:tcPr>
            <w:tcW w:w="9682"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692BE2" w:rsidRPr="007478D4" w:rsidRDefault="00692BE2" w:rsidP="004E6740">
            <w:pPr>
              <w:jc w:val="center"/>
              <w:rPr>
                <w:rFonts w:cs="ArialMT"/>
                <w:b/>
                <w:sz w:val="24"/>
                <w:szCs w:val="24"/>
              </w:rPr>
            </w:pPr>
            <w:r w:rsidRPr="007478D4">
              <w:rPr>
                <w:rFonts w:cs="ArialMT"/>
                <w:b/>
                <w:sz w:val="24"/>
                <w:szCs w:val="24"/>
              </w:rPr>
              <w:t>ΑΝΑΛΥΤΙΚΗ ΠΕΡΙΓΡΑΦΗ ΤΩΝ ΠΑΡΕΧΟΜΕΝΩΝ ΥΠΗΡΕΣΙΩΝ ΔΙΕΡΜΗΝΕΙΑΣ</w:t>
            </w:r>
          </w:p>
        </w:tc>
      </w:tr>
      <w:tr w:rsidR="00692BE2" w:rsidRPr="00E802E0" w:rsidTr="004E6740">
        <w:trPr>
          <w:trHeight w:val="6407"/>
        </w:trPr>
        <w:tc>
          <w:tcPr>
            <w:tcW w:w="9682"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692BE2" w:rsidRPr="007478D4" w:rsidRDefault="00692BE2" w:rsidP="004E6740">
            <w:pPr>
              <w:jc w:val="center"/>
              <w:rPr>
                <w:rFonts w:cs="ArialMT"/>
                <w:b/>
                <w:sz w:val="24"/>
                <w:szCs w:val="24"/>
              </w:rPr>
            </w:pPr>
          </w:p>
        </w:tc>
      </w:tr>
    </w:tbl>
    <w:p w:rsidR="00692BE2" w:rsidRDefault="00692BE2" w:rsidP="00692BE2">
      <w:pPr>
        <w:spacing w:after="0" w:line="240" w:lineRule="auto"/>
        <w:rPr>
          <w:rFonts w:asciiTheme="minorHAnsi" w:hAnsiTheme="minorHAnsi" w:cstheme="minorHAnsi"/>
          <w:sz w:val="20"/>
          <w:szCs w:val="20"/>
        </w:rPr>
      </w:pPr>
    </w:p>
    <w:p w:rsidR="00692BE2" w:rsidRDefault="00692BE2" w:rsidP="00692BE2">
      <w:pPr>
        <w:contextualSpacing/>
        <w:jc w:val="both"/>
        <w:rPr>
          <w:rFonts w:asciiTheme="minorHAnsi" w:hAnsiTheme="minorHAnsi" w:cstheme="minorHAnsi"/>
          <w:sz w:val="20"/>
          <w:szCs w:val="20"/>
          <w:highlight w:val="yellow"/>
        </w:rPr>
      </w:pPr>
    </w:p>
    <w:p w:rsidR="00DB34E2" w:rsidRDefault="00DB34E2"/>
    <w:sectPr w:rsidR="00DB34E2" w:rsidSect="00DB34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92BE2"/>
    <w:rsid w:val="00692BE2"/>
    <w:rsid w:val="00DB34E2"/>
    <w:rsid w:val="00F76C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E2"/>
    <w:pPr>
      <w:spacing w:after="160" w:line="259" w:lineRule="auto"/>
      <w:jc w:val="left"/>
    </w:pPr>
    <w:rPr>
      <w:rFonts w:ascii="Calibri" w:eastAsia="Calibri" w:hAnsi="Calibri" w:cs="Times New Roman"/>
    </w:rPr>
  </w:style>
  <w:style w:type="paragraph" w:styleId="1">
    <w:name w:val="heading 1"/>
    <w:basedOn w:val="a"/>
    <w:next w:val="a"/>
    <w:link w:val="1Char"/>
    <w:qFormat/>
    <w:rsid w:val="00692BE2"/>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BE2"/>
    <w:rPr>
      <w:rFonts w:eastAsiaTheme="majorEastAsia" w:cs="Arial"/>
      <w:b/>
      <w:iCs/>
      <w:color w:val="17365D" w:themeColor="text2" w:themeShade="BF"/>
      <w:spacing w:val="5"/>
      <w:kern w:val="28"/>
      <w:szCs w:val="52"/>
      <w:lang w:eastAsia="ar-SA"/>
    </w:rPr>
  </w:style>
  <w:style w:type="table" w:styleId="a3">
    <w:name w:val="Table Grid"/>
    <w:basedOn w:val="a1"/>
    <w:uiPriority w:val="59"/>
    <w:rsid w:val="00692BE2"/>
    <w:pPr>
      <w:spacing w:line="240" w:lineRule="auto"/>
      <w:jc w:val="left"/>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883</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s.koufali</dc:creator>
  <cp:lastModifiedBy>s.koufali</cp:lastModifiedBy>
  <cp:revision>1</cp:revision>
  <dcterms:created xsi:type="dcterms:W3CDTF">2018-08-01T06:02:00Z</dcterms:created>
  <dcterms:modified xsi:type="dcterms:W3CDTF">2018-08-01T06:03:00Z</dcterms:modified>
</cp:coreProperties>
</file>