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D72ED7" w:rsidRPr="00082BF3" w:rsidTr="00655E6B">
        <w:tc>
          <w:tcPr>
            <w:tcW w:w="4786" w:type="dxa"/>
          </w:tcPr>
          <w:p w:rsidR="00D72ED7" w:rsidRPr="00082BF3" w:rsidRDefault="00D72ED7" w:rsidP="00655E6B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2BF3">
              <w:rPr>
                <w:b/>
                <w:sz w:val="20"/>
                <w:szCs w:val="20"/>
              </w:rPr>
              <w:tab/>
            </w: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082BF3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72ED7" w:rsidRPr="00082BF3" w:rsidRDefault="00D72ED7" w:rsidP="00655E6B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ED7" w:rsidRPr="00082BF3" w:rsidTr="00655E6B">
        <w:tc>
          <w:tcPr>
            <w:tcW w:w="4786" w:type="dxa"/>
          </w:tcPr>
          <w:p w:rsidR="00D72ED7" w:rsidRPr="00082BF3" w:rsidRDefault="00D72ED7" w:rsidP="00655E6B">
            <w:pPr>
              <w:tabs>
                <w:tab w:val="left" w:pos="454"/>
              </w:tabs>
              <w:spacing w:after="0" w:line="240" w:lineRule="auto"/>
              <w:rPr>
                <w:b/>
                <w:noProof/>
                <w:sz w:val="6"/>
                <w:szCs w:val="4"/>
                <w:lang w:eastAsia="el-GR"/>
              </w:rPr>
            </w:pPr>
          </w:p>
        </w:tc>
      </w:tr>
      <w:tr w:rsidR="00D72ED7" w:rsidRPr="0091185A" w:rsidTr="00655E6B">
        <w:tc>
          <w:tcPr>
            <w:tcW w:w="4786" w:type="dxa"/>
          </w:tcPr>
          <w:p w:rsidR="00D72ED7" w:rsidRPr="0091185A" w:rsidRDefault="00D72ED7" w:rsidP="00655E6B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</w:p>
        </w:tc>
      </w:tr>
    </w:tbl>
    <w:p w:rsidR="00324241" w:rsidRDefault="00324241">
      <w:pPr>
        <w:rPr>
          <w:b/>
        </w:rPr>
      </w:pPr>
      <w:r>
        <w:rPr>
          <w:b/>
        </w:rPr>
        <w:t>Τεχνικοί κανόνες που πρέπει να ικανοποιούνται ,απ</w:t>
      </w:r>
      <w:r w:rsidR="00F12D78">
        <w:rPr>
          <w:b/>
        </w:rPr>
        <w:t>ό τα Χρηματοπιστωτικά Ιδρύματα,</w:t>
      </w:r>
      <w:r w:rsidR="00FD44CB">
        <w:rPr>
          <w:b/>
        </w:rPr>
        <w:t xml:space="preserve"> </w:t>
      </w:r>
      <w:r>
        <w:rPr>
          <w:b/>
        </w:rPr>
        <w:t xml:space="preserve">κατά την υποβολή αναφορών </w:t>
      </w:r>
      <w:r w:rsidR="00F12D78">
        <w:rPr>
          <w:b/>
          <w:lang w:val="en-US"/>
        </w:rPr>
        <w:t>DAC</w:t>
      </w:r>
      <w:r w:rsidR="00F12D78" w:rsidRPr="00F12D78">
        <w:rPr>
          <w:b/>
        </w:rPr>
        <w:t>2/</w:t>
      </w:r>
      <w:r w:rsidR="00F12D78">
        <w:rPr>
          <w:b/>
          <w:lang w:val="en-US"/>
        </w:rPr>
        <w:t>CRS</w:t>
      </w:r>
      <w:r w:rsidR="00F12D78" w:rsidRPr="00F12D78">
        <w:rPr>
          <w:b/>
        </w:rPr>
        <w:t xml:space="preserve"> </w:t>
      </w:r>
      <w:r>
        <w:rPr>
          <w:b/>
        </w:rPr>
        <w:t>στην ΑΑΔΕ.</w:t>
      </w:r>
      <w:r w:rsidR="00F12D78">
        <w:rPr>
          <w:b/>
        </w:rPr>
        <w:t xml:space="preserve"> </w:t>
      </w:r>
      <w:r>
        <w:rPr>
          <w:b/>
        </w:rPr>
        <w:t>Οι κανόνες αυτοί είναι επιπρόσθετοι των κανόνων που προβλέπονται από τον ΟΟΣΑ και την ΕΕ.</w:t>
      </w:r>
    </w:p>
    <w:p w:rsidR="00412B2B" w:rsidRPr="00506AA1" w:rsidRDefault="00506AA1" w:rsidP="00412B2B">
      <w:pPr>
        <w:jc w:val="center"/>
        <w:rPr>
          <w:b/>
          <w:lang w:val="en-US"/>
        </w:rPr>
      </w:pPr>
      <w:r>
        <w:rPr>
          <w:b/>
        </w:rPr>
        <w:t>Έκδοση 1.4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468"/>
      </w:tblGrid>
      <w:tr w:rsidR="000F7213" w:rsidRPr="0038288E" w:rsidTr="00506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F7213" w:rsidRPr="0038288E" w:rsidRDefault="000F7213">
            <w:pPr>
              <w:rPr>
                <w:lang w:val="en-US"/>
              </w:rPr>
            </w:pPr>
            <w:r w:rsidRPr="0038288E">
              <w:rPr>
                <w:lang w:val="en-US"/>
              </w:rPr>
              <w:t>Rule</w:t>
            </w:r>
          </w:p>
        </w:tc>
        <w:tc>
          <w:tcPr>
            <w:tcW w:w="5528" w:type="dxa"/>
          </w:tcPr>
          <w:p w:rsidR="000F7213" w:rsidRPr="0038288E" w:rsidRDefault="000F7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Description</w:t>
            </w:r>
          </w:p>
        </w:tc>
        <w:tc>
          <w:tcPr>
            <w:tcW w:w="1468" w:type="dxa"/>
          </w:tcPr>
          <w:p w:rsidR="000F7213" w:rsidRPr="0038288E" w:rsidRDefault="000F72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Error</w:t>
            </w:r>
          </w:p>
        </w:tc>
      </w:tr>
      <w:tr w:rsidR="000F7213" w:rsidRPr="0038288E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0F7213" w:rsidRPr="003A1753" w:rsidRDefault="000F7213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</w:t>
            </w:r>
            <w:r w:rsidR="006F4234" w:rsidRPr="003A1753">
              <w:rPr>
                <w:lang w:val="en-US"/>
              </w:rPr>
              <w:t>-BR-0002</w:t>
            </w:r>
          </w:p>
        </w:tc>
        <w:tc>
          <w:tcPr>
            <w:tcW w:w="5528" w:type="dxa"/>
          </w:tcPr>
          <w:p w:rsidR="000F7213" w:rsidRPr="0038288E" w:rsidRDefault="000F7213" w:rsidP="000F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Year of submission must match the reporting year defined  in Reporting Period in MessageSpec</w:t>
            </w:r>
          </w:p>
        </w:tc>
        <w:tc>
          <w:tcPr>
            <w:tcW w:w="1468" w:type="dxa"/>
          </w:tcPr>
          <w:p w:rsidR="000F7213" w:rsidRPr="0038288E" w:rsidRDefault="000F7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gr0</w:t>
            </w:r>
            <w:r w:rsidR="00637CB3" w:rsidRPr="0038288E">
              <w:rPr>
                <w:lang w:val="en-US"/>
              </w:rPr>
              <w:t>0002</w:t>
            </w:r>
          </w:p>
        </w:tc>
      </w:tr>
      <w:tr w:rsidR="006F4234" w:rsidRPr="0038288E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F4234" w:rsidRPr="003A1753" w:rsidRDefault="006F4234" w:rsidP="006F4234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GR-BR-0003</w:t>
            </w:r>
          </w:p>
        </w:tc>
        <w:tc>
          <w:tcPr>
            <w:tcW w:w="5528" w:type="dxa"/>
          </w:tcPr>
          <w:p w:rsidR="006F4234" w:rsidRPr="0038288E" w:rsidRDefault="006F4234" w:rsidP="006F4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The Transmitting Country element in MessageSpec must have a value of GR</w:t>
            </w:r>
          </w:p>
        </w:tc>
        <w:tc>
          <w:tcPr>
            <w:tcW w:w="1468" w:type="dxa"/>
          </w:tcPr>
          <w:p w:rsidR="006F4234" w:rsidRPr="0038288E" w:rsidRDefault="006F4234" w:rsidP="006F4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gr00003</w:t>
            </w:r>
          </w:p>
        </w:tc>
      </w:tr>
      <w:tr w:rsidR="006F4234" w:rsidRPr="0038288E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6F4234" w:rsidRPr="003A1753" w:rsidRDefault="006F4234" w:rsidP="006F4234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GR-BR-0004</w:t>
            </w:r>
          </w:p>
        </w:tc>
        <w:tc>
          <w:tcPr>
            <w:tcW w:w="5528" w:type="dxa"/>
          </w:tcPr>
          <w:p w:rsidR="006F4234" w:rsidRPr="0038288E" w:rsidRDefault="006F4234" w:rsidP="006F4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lang w:val="en-US"/>
              </w:rPr>
              <w:t>The Receiving Country element in MessageSpec must have a value of GR</w:t>
            </w:r>
          </w:p>
        </w:tc>
        <w:tc>
          <w:tcPr>
            <w:tcW w:w="1468" w:type="dxa"/>
          </w:tcPr>
          <w:p w:rsidR="006F4234" w:rsidRPr="0038288E" w:rsidRDefault="006F4234" w:rsidP="006F4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88E">
              <w:rPr>
                <w:lang w:val="en-US"/>
              </w:rPr>
              <w:t>gr00004</w:t>
            </w:r>
          </w:p>
        </w:tc>
      </w:tr>
      <w:tr w:rsidR="00F74FC6" w:rsidRPr="00F74FC6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4FC6" w:rsidRPr="003A1753" w:rsidRDefault="00F74FC6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GR-BR-0005</w:t>
            </w:r>
          </w:p>
        </w:tc>
        <w:tc>
          <w:tcPr>
            <w:tcW w:w="5528" w:type="dxa"/>
          </w:tcPr>
          <w:p w:rsidR="00F74FC6" w:rsidRPr="0038288E" w:rsidRDefault="00F74FC6" w:rsidP="006F4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format of 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AccountReport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 must be </w:t>
            </w:r>
            <w:r w:rsidR="002F3070">
              <w:rPr>
                <w:lang w:val="en-US"/>
              </w:rPr>
              <w:t>GR&lt;Year of Reporting Period&gt;</w:t>
            </w:r>
            <w:r w:rsidRPr="0038288E">
              <w:rPr>
                <w:lang w:val="en-US"/>
              </w:rPr>
              <w:t>&lt;VAT Number&gt;</w:t>
            </w:r>
            <w:r w:rsidR="00674EC0">
              <w:rPr>
                <w:lang w:val="en-US"/>
              </w:rPr>
              <w:t>AR</w:t>
            </w:r>
            <w:r w:rsidRPr="0038288E">
              <w:rPr>
                <w:lang w:val="en-US"/>
              </w:rPr>
              <w:t>&lt;U</w:t>
            </w:r>
            <w:r>
              <w:rPr>
                <w:lang w:val="en-US"/>
              </w:rPr>
              <w:t>niqueId&gt;</w:t>
            </w:r>
            <w:r w:rsidR="00E75A59">
              <w:rPr>
                <w:lang w:val="en-US"/>
              </w:rPr>
              <w:t>&lt;Receiving_Country</w:t>
            </w:r>
            <w:r w:rsidR="005A34FA">
              <w:rPr>
                <w:lang w:val="en-US"/>
              </w:rPr>
              <w:t>_Code</w:t>
            </w:r>
            <w:r w:rsidR="00E75A59">
              <w:rPr>
                <w:lang w:val="en-US"/>
              </w:rPr>
              <w:t>&gt;</w:t>
            </w:r>
          </w:p>
        </w:tc>
        <w:tc>
          <w:tcPr>
            <w:tcW w:w="1468" w:type="dxa"/>
          </w:tcPr>
          <w:p w:rsidR="00F74FC6" w:rsidRPr="0038288E" w:rsidRDefault="00F74FC6" w:rsidP="006F4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gr00005</w:t>
            </w:r>
          </w:p>
        </w:tc>
      </w:tr>
      <w:tr w:rsidR="00F74FC6" w:rsidRPr="00F74FC6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F74FC6" w:rsidRPr="003A1753" w:rsidRDefault="00F74FC6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GR-BR-0006</w:t>
            </w:r>
          </w:p>
        </w:tc>
        <w:tc>
          <w:tcPr>
            <w:tcW w:w="5528" w:type="dxa"/>
          </w:tcPr>
          <w:p w:rsidR="00F74FC6" w:rsidRPr="0038288E" w:rsidRDefault="00F74FC6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format of 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 Reportin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g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Fi: </w:t>
            </w:r>
            <w:r w:rsidRPr="0038288E">
              <w:rPr>
                <w:lang w:val="en-US"/>
              </w:rPr>
              <w:t>GR&lt; Year of Reporting Period &gt;&lt;VAT Number&gt;FI&lt;UniqueId&gt;</w:t>
            </w:r>
          </w:p>
          <w:p w:rsidR="00F74FC6" w:rsidRPr="0038288E" w:rsidRDefault="00F74FC6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68" w:type="dxa"/>
          </w:tcPr>
          <w:p w:rsidR="00F74FC6" w:rsidRPr="0038288E" w:rsidRDefault="00F74FC6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gr00006</w:t>
            </w:r>
          </w:p>
        </w:tc>
      </w:tr>
      <w:tr w:rsidR="00BE365C" w:rsidRPr="00F74FC6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E365C" w:rsidRPr="003A1753" w:rsidRDefault="00BE365C" w:rsidP="00BE365C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GR-BR-0007</w:t>
            </w:r>
          </w:p>
        </w:tc>
        <w:tc>
          <w:tcPr>
            <w:tcW w:w="5528" w:type="dxa"/>
          </w:tcPr>
          <w:p w:rsidR="00BE365C" w:rsidRDefault="00BE365C" w:rsidP="00BE3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value of MessageRefId element must not exceed 100 characters</w:t>
            </w:r>
          </w:p>
        </w:tc>
        <w:tc>
          <w:tcPr>
            <w:tcW w:w="1468" w:type="dxa"/>
          </w:tcPr>
          <w:p w:rsidR="00BE365C" w:rsidRDefault="00BE365C" w:rsidP="00BE36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gr00007</w:t>
            </w:r>
          </w:p>
        </w:tc>
      </w:tr>
      <w:tr w:rsidR="00BE365C" w:rsidRPr="00BE365C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BE365C" w:rsidRPr="003A1753" w:rsidRDefault="00BE365C" w:rsidP="00BE365C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GR-BR-0008</w:t>
            </w:r>
          </w:p>
        </w:tc>
        <w:tc>
          <w:tcPr>
            <w:tcW w:w="5528" w:type="dxa"/>
          </w:tcPr>
          <w:p w:rsidR="00BE365C" w:rsidRPr="00BE365C" w:rsidRDefault="00BE365C" w:rsidP="00BE3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Value OECD0 for the DocTypeIndic element is only acceptable for the R</w:t>
            </w:r>
            <w:r w:rsidR="005D295C">
              <w:rPr>
                <w:lang w:val="en-US"/>
              </w:rPr>
              <w:t>e</w:t>
            </w:r>
            <w:r>
              <w:rPr>
                <w:lang w:val="en-US"/>
              </w:rPr>
              <w:t>portingFI  docSpec</w:t>
            </w:r>
          </w:p>
        </w:tc>
        <w:tc>
          <w:tcPr>
            <w:tcW w:w="1468" w:type="dxa"/>
          </w:tcPr>
          <w:p w:rsidR="00BE365C" w:rsidRDefault="00BE365C" w:rsidP="00BE3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gr00008</w:t>
            </w:r>
          </w:p>
        </w:tc>
      </w:tr>
      <w:tr w:rsidR="003A7FF7" w:rsidRPr="003A7FF7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3A7FF7" w:rsidRPr="003A1753" w:rsidRDefault="003A7FF7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GR-BR-0010</w:t>
            </w:r>
          </w:p>
        </w:tc>
        <w:tc>
          <w:tcPr>
            <w:tcW w:w="5528" w:type="dxa"/>
          </w:tcPr>
          <w:p w:rsidR="003A7FF7" w:rsidRPr="0058698F" w:rsidRDefault="0058698F" w:rsidP="00C76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8698F">
              <w:rPr>
                <w:lang w:val="en-US"/>
              </w:rPr>
              <w:t>A “No data to report” report (CRS703) must not contain accountReport elements</w:t>
            </w:r>
          </w:p>
        </w:tc>
        <w:tc>
          <w:tcPr>
            <w:tcW w:w="1468" w:type="dxa"/>
          </w:tcPr>
          <w:p w:rsidR="003A7FF7" w:rsidRDefault="00DB3C52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gr00010</w:t>
            </w:r>
          </w:p>
        </w:tc>
      </w:tr>
      <w:tr w:rsidR="00DB3C52" w:rsidRPr="003A7FF7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B3C52" w:rsidRPr="003A1753" w:rsidRDefault="002D69B7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GR-BR-0011</w:t>
            </w:r>
          </w:p>
        </w:tc>
        <w:tc>
          <w:tcPr>
            <w:tcW w:w="5528" w:type="dxa"/>
          </w:tcPr>
          <w:p w:rsidR="00DB3C52" w:rsidRDefault="0039572D" w:rsidP="0039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All </w:t>
            </w:r>
            <w:r w:rsidR="00DB3C52">
              <w:rPr>
                <w:lang w:val="en-US"/>
              </w:rPr>
              <w:t>report</w:t>
            </w:r>
            <w:r>
              <w:rPr>
                <w:lang w:val="en-US"/>
              </w:rPr>
              <w:t>s</w:t>
            </w:r>
            <w:r w:rsidR="00DB3C52">
              <w:rPr>
                <w:lang w:val="en-US"/>
              </w:rPr>
              <w:t xml:space="preserve"> must</w:t>
            </w:r>
            <w:r w:rsidR="00B812DC">
              <w:rPr>
                <w:lang w:val="en-US"/>
              </w:rPr>
              <w:t xml:space="preserve"> contain</w:t>
            </w:r>
            <w:r w:rsidR="00DB3C52">
              <w:rPr>
                <w:lang w:val="en-US"/>
              </w:rPr>
              <w:t xml:space="preserve"> </w:t>
            </w:r>
            <w:r w:rsidR="00CF20A3">
              <w:rPr>
                <w:lang w:val="en-US"/>
              </w:rPr>
              <w:t xml:space="preserve">exactly one </w:t>
            </w:r>
            <w:r w:rsidR="00DB3C52">
              <w:rPr>
                <w:lang w:val="en-US"/>
              </w:rPr>
              <w:t xml:space="preserve"> CRS_Body element</w:t>
            </w:r>
          </w:p>
        </w:tc>
        <w:tc>
          <w:tcPr>
            <w:tcW w:w="1468" w:type="dxa"/>
          </w:tcPr>
          <w:p w:rsidR="00DB3C52" w:rsidRPr="00DB3C52" w:rsidRDefault="00DB3C52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lang w:val="en-US"/>
              </w:rPr>
              <w:t>gr00011</w:t>
            </w:r>
          </w:p>
        </w:tc>
      </w:tr>
      <w:tr w:rsidR="00E81867" w:rsidRPr="00E81867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81867" w:rsidRPr="003A1753" w:rsidRDefault="00E81867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GR-BR-0012</w:t>
            </w:r>
          </w:p>
        </w:tc>
        <w:tc>
          <w:tcPr>
            <w:tcW w:w="5528" w:type="dxa"/>
          </w:tcPr>
          <w:p w:rsidR="00E81867" w:rsidRDefault="00E81867" w:rsidP="00A20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AccountReport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 must end with the ISO code of the country that will receive the </w:t>
            </w:r>
            <w:r w:rsidR="00A20B43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specific Account R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eport.</w:t>
            </w:r>
          </w:p>
        </w:tc>
        <w:tc>
          <w:tcPr>
            <w:tcW w:w="1468" w:type="dxa"/>
          </w:tcPr>
          <w:p w:rsidR="00E81867" w:rsidRDefault="00E81867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gr00012</w:t>
            </w:r>
          </w:p>
        </w:tc>
      </w:tr>
      <w:tr w:rsidR="00E81867" w:rsidRPr="00E81867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81867" w:rsidRPr="003A1753" w:rsidRDefault="00E81867" w:rsidP="00F74FC6">
            <w:pPr>
              <w:rPr>
                <w:b w:val="0"/>
                <w:lang w:val="en-US"/>
              </w:rPr>
            </w:pPr>
            <w:r w:rsidRPr="003A1753">
              <w:rPr>
                <w:lang w:val="en-US"/>
              </w:rPr>
              <w:t>GR-BR-0013</w:t>
            </w:r>
          </w:p>
        </w:tc>
        <w:tc>
          <w:tcPr>
            <w:tcW w:w="5528" w:type="dxa"/>
          </w:tcPr>
          <w:p w:rsidR="00E81867" w:rsidRPr="0038288E" w:rsidRDefault="00E81867" w:rsidP="00395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</w:pP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AccountReport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  <w:r w:rsidR="00F65DB6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cannot end with the GR ISO Code unless the account is undocumented.</w:t>
            </w:r>
          </w:p>
        </w:tc>
        <w:tc>
          <w:tcPr>
            <w:tcW w:w="1468" w:type="dxa"/>
          </w:tcPr>
          <w:p w:rsidR="00E81867" w:rsidRDefault="00E81867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gr00013</w:t>
            </w:r>
          </w:p>
        </w:tc>
      </w:tr>
      <w:tr w:rsidR="00D232A6" w:rsidRPr="00D232A6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232A6" w:rsidRPr="00F30A68" w:rsidRDefault="00D232A6" w:rsidP="00F74FC6">
            <w:r>
              <w:rPr>
                <w:lang w:val="en-US"/>
              </w:rPr>
              <w:t>GR-BR-0014</w:t>
            </w:r>
          </w:p>
        </w:tc>
        <w:tc>
          <w:tcPr>
            <w:tcW w:w="5528" w:type="dxa"/>
          </w:tcPr>
          <w:p w:rsidR="00D232A6" w:rsidRPr="0038288E" w:rsidRDefault="00D232A6" w:rsidP="00D23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The Receiving Country Code defined in a corre</w:t>
            </w:r>
            <w:r w:rsidR="00F30A68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ct</w:t>
            </w:r>
            <w:r w:rsidR="00F30A68">
              <w:rPr>
                <w:rStyle w:val="CodeChar"/>
                <w:rFonts w:asciiTheme="minorHAnsi" w:eastAsiaTheme="minorHAnsi" w:hAnsiTheme="minorHAnsi"/>
                <w:sz w:val="22"/>
                <w:szCs w:val="22"/>
                <w:lang w:val="en-US"/>
              </w:rPr>
              <w:t>ed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 AccountReport DocRefId must be the same as the Receiving Country in the CorrDocRefId</w:t>
            </w:r>
          </w:p>
        </w:tc>
        <w:tc>
          <w:tcPr>
            <w:tcW w:w="1468" w:type="dxa"/>
          </w:tcPr>
          <w:p w:rsidR="00D232A6" w:rsidRDefault="00D232A6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gr00014</w:t>
            </w:r>
          </w:p>
        </w:tc>
      </w:tr>
      <w:tr w:rsidR="00D232A6" w:rsidRPr="00D232A6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232A6" w:rsidRDefault="00D232A6" w:rsidP="00F74FC6">
            <w:pPr>
              <w:rPr>
                <w:lang w:val="en-US"/>
              </w:rPr>
            </w:pPr>
            <w:r>
              <w:rPr>
                <w:lang w:val="en-US"/>
              </w:rPr>
              <w:t>GR-BR-0015</w:t>
            </w:r>
          </w:p>
        </w:tc>
        <w:tc>
          <w:tcPr>
            <w:tcW w:w="5528" w:type="dxa"/>
          </w:tcPr>
          <w:p w:rsidR="00D232A6" w:rsidRPr="00D232A6" w:rsidRDefault="00D232A6" w:rsidP="00D232A6">
            <w:pPr>
              <w:keepNext/>
              <w:spacing w:before="60" w:after="60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deChar"/>
                <w:rFonts w:asciiTheme="minorHAnsi" w:eastAsiaTheme="minorHAnsi" w:hAnsiTheme="minorHAnsi"/>
                <w:sz w:val="22"/>
                <w:szCs w:val="22"/>
                <w:lang w:val="en-US"/>
              </w:rPr>
            </w:pPr>
            <w:r w:rsidRPr="00D232A6">
              <w:rPr>
                <w:rFonts w:cs="Arial"/>
                <w:lang w:val="en-US"/>
              </w:rPr>
              <w:t xml:space="preserve">When the Person is a Controlling Person or an Individual Account Holder, the ResCountryCode must match the 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AccountReport  </w:t>
            </w:r>
            <w:r>
              <w:rPr>
                <w:rFonts w:cs="Arial"/>
                <w:lang w:val="en-US"/>
              </w:rPr>
              <w:t>DocRefId</w:t>
            </w:r>
            <w:r w:rsidRPr="00D232A6">
              <w:rPr>
                <w:rFonts w:cs="Arial"/>
                <w:lang w:val="en-US"/>
              </w:rPr>
              <w:t xml:space="preserve"> Receiving Country Code.</w:t>
            </w:r>
          </w:p>
        </w:tc>
        <w:tc>
          <w:tcPr>
            <w:tcW w:w="1468" w:type="dxa"/>
          </w:tcPr>
          <w:p w:rsidR="00D232A6" w:rsidRDefault="00D232A6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gr00015</w:t>
            </w:r>
          </w:p>
        </w:tc>
      </w:tr>
      <w:tr w:rsidR="00D232A6" w:rsidRPr="00D232A6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D232A6" w:rsidRDefault="00D232A6" w:rsidP="00F74FC6">
            <w:pPr>
              <w:rPr>
                <w:lang w:val="en-US"/>
              </w:rPr>
            </w:pPr>
            <w:r>
              <w:rPr>
                <w:lang w:val="en-US"/>
              </w:rPr>
              <w:t>GR-BR-0016</w:t>
            </w:r>
          </w:p>
        </w:tc>
        <w:tc>
          <w:tcPr>
            <w:tcW w:w="5528" w:type="dxa"/>
          </w:tcPr>
          <w:p w:rsidR="00D232A6" w:rsidRPr="00D232A6" w:rsidRDefault="00D232A6" w:rsidP="00D232A6">
            <w:pPr>
              <w:keepNext/>
              <w:spacing w:before="60" w:after="6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D232A6">
              <w:rPr>
                <w:rFonts w:cs="Arial"/>
                <w:lang w:val="en-US"/>
              </w:rPr>
              <w:t xml:space="preserve">Either the Entity Account Holder ResCountryCode or Controlling Person ResCountryCode must match the 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AccountReport  </w:t>
            </w:r>
            <w:r>
              <w:rPr>
                <w:rFonts w:cs="Arial"/>
                <w:lang w:val="en-US"/>
              </w:rPr>
              <w:t>DocRefId</w:t>
            </w:r>
            <w:r w:rsidRPr="00D232A6">
              <w:rPr>
                <w:rFonts w:cs="Arial"/>
                <w:lang w:val="en-US"/>
              </w:rPr>
              <w:t xml:space="preserve"> Receiving Country Code.</w:t>
            </w:r>
          </w:p>
        </w:tc>
        <w:tc>
          <w:tcPr>
            <w:tcW w:w="1468" w:type="dxa"/>
          </w:tcPr>
          <w:p w:rsidR="00D232A6" w:rsidRDefault="00D232A6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</w:t>
            </w:r>
            <w:r w:rsidR="00992B09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</w:tr>
      <w:tr w:rsidR="004D3928" w:rsidRPr="004D3928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D3928" w:rsidRDefault="004D3928" w:rsidP="00F74FC6">
            <w:pPr>
              <w:rPr>
                <w:lang w:val="en-US"/>
              </w:rPr>
            </w:pPr>
            <w:r>
              <w:rPr>
                <w:lang w:val="en-US"/>
              </w:rPr>
              <w:t>GR-BR-0017</w:t>
            </w:r>
          </w:p>
        </w:tc>
        <w:tc>
          <w:tcPr>
            <w:tcW w:w="5528" w:type="dxa"/>
          </w:tcPr>
          <w:p w:rsidR="004D3928" w:rsidRPr="004D3928" w:rsidRDefault="004D3928" w:rsidP="004D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format of Corr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 Reportin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g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Fi: </w:t>
            </w:r>
            <w:r w:rsidRPr="0038288E">
              <w:rPr>
                <w:lang w:val="en-US"/>
              </w:rPr>
              <w:t>GR&lt; Year of Reporting Period &gt;&lt;VAT Number&gt;FI&lt;UniqueId&gt;</w:t>
            </w:r>
          </w:p>
        </w:tc>
        <w:tc>
          <w:tcPr>
            <w:tcW w:w="1468" w:type="dxa"/>
          </w:tcPr>
          <w:p w:rsidR="004D3928" w:rsidRDefault="004D3928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gr00017</w:t>
            </w:r>
          </w:p>
        </w:tc>
      </w:tr>
      <w:tr w:rsidR="00E074B7" w:rsidRPr="004D3928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E074B7" w:rsidRDefault="00E074B7" w:rsidP="00F74FC6">
            <w:pPr>
              <w:rPr>
                <w:lang w:val="en-US"/>
              </w:rPr>
            </w:pPr>
            <w:r>
              <w:rPr>
                <w:lang w:val="en-US"/>
              </w:rPr>
              <w:t>GR-BR-0018</w:t>
            </w:r>
          </w:p>
        </w:tc>
        <w:tc>
          <w:tcPr>
            <w:tcW w:w="5528" w:type="dxa"/>
          </w:tcPr>
          <w:p w:rsidR="00E074B7" w:rsidRPr="00E074B7" w:rsidRDefault="00E074B7" w:rsidP="004D39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 format of Corr</w:t>
            </w:r>
            <w:r w:rsidRPr="0038288E"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>DocRefId in AccountReport</w:t>
            </w:r>
            <w:r>
              <w:rPr>
                <w:rStyle w:val="CodeChar"/>
                <w:rFonts w:asciiTheme="minorHAnsi" w:eastAsiaTheme="minorHAnsi" w:hAnsiTheme="minorHAnsi"/>
                <w:sz w:val="22"/>
                <w:szCs w:val="22"/>
              </w:rPr>
              <w:t xml:space="preserve"> must be </w:t>
            </w:r>
            <w:r>
              <w:rPr>
                <w:lang w:val="en-US"/>
              </w:rPr>
              <w:t>GR&lt;Year of Reporting Period&gt;</w:t>
            </w:r>
            <w:r w:rsidRPr="0038288E">
              <w:rPr>
                <w:lang w:val="en-US"/>
              </w:rPr>
              <w:t>&lt;VAT Number&gt;</w:t>
            </w:r>
            <w:r>
              <w:rPr>
                <w:lang w:val="en-US"/>
              </w:rPr>
              <w:t>AR</w:t>
            </w:r>
            <w:r w:rsidRPr="0038288E">
              <w:rPr>
                <w:lang w:val="en-US"/>
              </w:rPr>
              <w:t>&lt;U</w:t>
            </w:r>
            <w:r>
              <w:rPr>
                <w:lang w:val="en-US"/>
              </w:rPr>
              <w:t>niqueId&gt;&lt;Receiving_Country_Code&gt;</w:t>
            </w:r>
          </w:p>
        </w:tc>
        <w:tc>
          <w:tcPr>
            <w:tcW w:w="1468" w:type="dxa"/>
          </w:tcPr>
          <w:p w:rsidR="00E074B7" w:rsidRDefault="00E074B7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gr00018</w:t>
            </w:r>
          </w:p>
        </w:tc>
      </w:tr>
      <w:tr w:rsidR="00506AA1" w:rsidRPr="004D3928" w:rsidTr="00506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06AA1" w:rsidRDefault="00506AA1" w:rsidP="00506A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GR-BR-</w:t>
            </w:r>
            <w:r>
              <w:rPr>
                <w:lang w:val="en-US"/>
              </w:rPr>
              <w:t>99000</w:t>
            </w:r>
          </w:p>
        </w:tc>
        <w:tc>
          <w:tcPr>
            <w:tcW w:w="5528" w:type="dxa"/>
          </w:tcPr>
          <w:p w:rsidR="00506AA1" w:rsidRDefault="00506AA1" w:rsidP="004D3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06AA1">
              <w:rPr>
                <w:lang w:val="en-US"/>
              </w:rPr>
              <w:t>The submitted Report contains malformed UTF-8 characters</w:t>
            </w:r>
          </w:p>
        </w:tc>
        <w:tc>
          <w:tcPr>
            <w:tcW w:w="1468" w:type="dxa"/>
          </w:tcPr>
          <w:p w:rsidR="00506AA1" w:rsidRDefault="00506AA1" w:rsidP="00F74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06AA1">
              <w:rPr>
                <w:lang w:val="en-US"/>
              </w:rPr>
              <w:t>gr99000</w:t>
            </w:r>
          </w:p>
        </w:tc>
      </w:tr>
      <w:tr w:rsidR="00506AA1" w:rsidRPr="004D3928" w:rsidTr="00506A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506AA1" w:rsidRDefault="00506AA1" w:rsidP="00F74FC6">
            <w:pPr>
              <w:rPr>
                <w:lang w:val="en-US"/>
              </w:rPr>
            </w:pPr>
            <w:r>
              <w:rPr>
                <w:lang w:val="en-US"/>
              </w:rPr>
              <w:t>GR-BR-99998</w:t>
            </w:r>
          </w:p>
        </w:tc>
        <w:tc>
          <w:tcPr>
            <w:tcW w:w="5528" w:type="dxa"/>
          </w:tcPr>
          <w:p w:rsidR="00506AA1" w:rsidRDefault="00506AA1" w:rsidP="0050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506AA1">
              <w:rPr>
                <w:lang w:val="en-US"/>
              </w:rPr>
              <w:t xml:space="preserve"> correction DAC2 report </w:t>
            </w:r>
            <w:r>
              <w:rPr>
                <w:lang w:val="en-US"/>
              </w:rPr>
              <w:t xml:space="preserve">cannot be submitted </w:t>
            </w:r>
            <w:r w:rsidRPr="00506AA1">
              <w:rPr>
                <w:lang w:val="en-US"/>
              </w:rPr>
              <w:t>while the in</w:t>
            </w:r>
            <w:r>
              <w:rPr>
                <w:lang w:val="en-US"/>
              </w:rPr>
              <w:t>i</w:t>
            </w:r>
            <w:r w:rsidRPr="00506AA1">
              <w:rPr>
                <w:lang w:val="en-US"/>
              </w:rPr>
              <w:t>tial report has not been forwarded to the participating jurisdictions</w:t>
            </w:r>
          </w:p>
        </w:tc>
        <w:tc>
          <w:tcPr>
            <w:tcW w:w="1468" w:type="dxa"/>
          </w:tcPr>
          <w:p w:rsidR="00506AA1" w:rsidRPr="00506AA1" w:rsidRDefault="00506AA1" w:rsidP="00F74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06AA1">
              <w:rPr>
                <w:lang w:val="en-US"/>
              </w:rPr>
              <w:t>99998</w:t>
            </w:r>
          </w:p>
        </w:tc>
      </w:tr>
    </w:tbl>
    <w:p w:rsidR="00D72ED7" w:rsidRDefault="00D72ED7">
      <w:pPr>
        <w:rPr>
          <w:lang w:val="en-US"/>
        </w:rPr>
      </w:pPr>
    </w:p>
    <w:p w:rsidR="00F12D78" w:rsidRDefault="00F12D78" w:rsidP="00F12D78">
      <w:pPr>
        <w:rPr>
          <w:b/>
        </w:rPr>
      </w:pPr>
      <w:bookmarkStart w:id="0" w:name="_GoBack"/>
      <w:bookmarkEnd w:id="0"/>
      <w:r>
        <w:rPr>
          <w:b/>
        </w:rPr>
        <w:t>Τα αναγνωριστικά που χρησιμοποιούνται  στα αρχεία υποβολής θα πρέπει να ακολουθούν τους παρακάτω συντακτικούς κανόνες</w:t>
      </w:r>
      <w:r w:rsidR="005E5D2D">
        <w:rPr>
          <w:b/>
        </w:rPr>
        <w:t xml:space="preserve"> </w:t>
      </w:r>
      <w:r w:rsidR="005E5D2D" w:rsidRPr="005E5D2D">
        <w:t>(</w:t>
      </w:r>
      <w:r w:rsidR="005E5D2D">
        <w:t>όπου</w:t>
      </w:r>
      <w:r w:rsidR="005E5D2D" w:rsidRPr="00660EDC">
        <w:t xml:space="preserve"> </w:t>
      </w:r>
      <w:r w:rsidR="005E5D2D" w:rsidRPr="00660EDC">
        <w:rPr>
          <w:lang w:val="en-US"/>
        </w:rPr>
        <w:t>Vat</w:t>
      </w:r>
      <w:r w:rsidR="005E5D2D" w:rsidRPr="00660EDC">
        <w:t xml:space="preserve"> </w:t>
      </w:r>
      <w:r w:rsidR="005E5D2D" w:rsidRPr="00660EDC">
        <w:rPr>
          <w:lang w:val="en-US"/>
        </w:rPr>
        <w:t>Number</w:t>
      </w:r>
      <w:r w:rsidR="005E5D2D" w:rsidRPr="00660EDC">
        <w:t xml:space="preserve"> </w:t>
      </w:r>
      <w:r w:rsidR="005E5D2D">
        <w:t>συμπληρώνουμε</w:t>
      </w:r>
      <w:r w:rsidR="005E5D2D" w:rsidRPr="00660EDC">
        <w:t xml:space="preserve"> </w:t>
      </w:r>
      <w:r w:rsidR="005E5D2D">
        <w:t>το ΑΦΜ του υποβάλλοντος Χρηματοπιστωτικού Ιδρύματος.</w:t>
      </w:r>
      <w:r w:rsidR="005E5D2D">
        <w:rPr>
          <w:b/>
        </w:rPr>
        <w:t xml:space="preserve">) </w:t>
      </w:r>
      <w:r>
        <w:rPr>
          <w:b/>
        </w:rPr>
        <w:t>:</w:t>
      </w:r>
    </w:p>
    <w:p w:rsidR="00F12D78" w:rsidRDefault="00F12D78" w:rsidP="00F12D78">
      <w:pPr>
        <w:pStyle w:val="a5"/>
        <w:numPr>
          <w:ilvl w:val="0"/>
          <w:numId w:val="2"/>
        </w:numPr>
        <w:rPr>
          <w:lang w:val="en-US"/>
        </w:rPr>
      </w:pPr>
      <w:r w:rsidRPr="00F12D78">
        <w:rPr>
          <w:b/>
          <w:lang w:val="en-US"/>
        </w:rPr>
        <w:t>MessageRefId format</w:t>
      </w:r>
      <w:r w:rsidRPr="00F12D78">
        <w:rPr>
          <w:lang w:val="en-US"/>
        </w:rPr>
        <w:t xml:space="preserve">: </w:t>
      </w:r>
    </w:p>
    <w:p w:rsidR="00F12D78" w:rsidRPr="00F12D78" w:rsidRDefault="00F12D78" w:rsidP="00F12D78">
      <w:pPr>
        <w:ind w:firstLine="720"/>
        <w:rPr>
          <w:lang w:val="en-US"/>
        </w:rPr>
      </w:pPr>
      <w:r w:rsidRPr="00F12D78">
        <w:rPr>
          <w:lang w:val="en-US"/>
        </w:rPr>
        <w:t>GR&lt;Year of Reporting Period&gt;GR&lt;VAT Number&gt;&lt;UniqueId&gt;</w:t>
      </w:r>
    </w:p>
    <w:p w:rsidR="00F12D78" w:rsidRDefault="00F12D78" w:rsidP="00F12D78">
      <w:pPr>
        <w:pStyle w:val="a5"/>
        <w:numPr>
          <w:ilvl w:val="0"/>
          <w:numId w:val="2"/>
        </w:numPr>
        <w:rPr>
          <w:lang w:val="en-US"/>
        </w:rPr>
      </w:pP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>DocRefId in AccountReport</w:t>
      </w:r>
      <w:r w:rsidRPr="00F12D78">
        <w:rPr>
          <w:lang w:val="en-US"/>
        </w:rPr>
        <w:t xml:space="preserve"> :</w:t>
      </w:r>
    </w:p>
    <w:p w:rsidR="00F12D78" w:rsidRDefault="00F12D78" w:rsidP="00F12D78">
      <w:pPr>
        <w:ind w:firstLine="720"/>
        <w:rPr>
          <w:sz w:val="20"/>
          <w:szCs w:val="20"/>
          <w:lang w:val="en-US"/>
        </w:rPr>
      </w:pPr>
      <w:r w:rsidRPr="00D232A6">
        <w:rPr>
          <w:sz w:val="20"/>
          <w:szCs w:val="20"/>
          <w:lang w:val="en-US"/>
        </w:rPr>
        <w:t xml:space="preserve"> GR&lt; Year of Reporting Period &gt;&lt;VATNumber&gt;AR&lt;UniqueId&gt;&lt;Receiving_Country</w:t>
      </w:r>
      <w:r w:rsidR="00D232A6" w:rsidRPr="00D232A6">
        <w:rPr>
          <w:sz w:val="20"/>
          <w:szCs w:val="20"/>
          <w:lang w:val="en-US"/>
        </w:rPr>
        <w:t>_Code</w:t>
      </w:r>
      <w:r w:rsidRPr="00D232A6">
        <w:rPr>
          <w:sz w:val="20"/>
          <w:szCs w:val="20"/>
          <w:lang w:val="en-US"/>
        </w:rPr>
        <w:t>&gt;</w:t>
      </w:r>
    </w:p>
    <w:p w:rsidR="005204D9" w:rsidRPr="005204D9" w:rsidRDefault="005204D9" w:rsidP="00F12D78">
      <w:pPr>
        <w:ind w:firstLine="720"/>
        <w:rPr>
          <w:rStyle w:val="CodeChar"/>
          <w:rFonts w:asciiTheme="minorHAnsi" w:eastAsiaTheme="minorHAnsi" w:hAnsiTheme="minorHAnsi" w:cstheme="minorBidi"/>
          <w:noProof w:val="0"/>
          <w:szCs w:val="20"/>
          <w:lang w:val="en-US"/>
        </w:rPr>
      </w:pPr>
      <w:r>
        <w:rPr>
          <w:sz w:val="20"/>
          <w:szCs w:val="20"/>
        </w:rPr>
        <w:t>Όπου</w:t>
      </w:r>
      <w:r w:rsidRPr="005204D9">
        <w:rPr>
          <w:sz w:val="20"/>
          <w:szCs w:val="20"/>
        </w:rPr>
        <w:t xml:space="preserve"> </w:t>
      </w:r>
      <w:r w:rsidRPr="00D232A6">
        <w:rPr>
          <w:sz w:val="20"/>
          <w:szCs w:val="20"/>
          <w:lang w:val="en-US"/>
        </w:rPr>
        <w:t>Receiving</w:t>
      </w:r>
      <w:r w:rsidRPr="005204D9">
        <w:rPr>
          <w:sz w:val="20"/>
          <w:szCs w:val="20"/>
        </w:rPr>
        <w:t>_</w:t>
      </w:r>
      <w:r w:rsidRPr="00D232A6">
        <w:rPr>
          <w:sz w:val="20"/>
          <w:szCs w:val="20"/>
          <w:lang w:val="en-US"/>
        </w:rPr>
        <w:t>Country</w:t>
      </w:r>
      <w:r w:rsidRPr="005204D9">
        <w:rPr>
          <w:sz w:val="20"/>
          <w:szCs w:val="20"/>
        </w:rPr>
        <w:t>_</w:t>
      </w:r>
      <w:r w:rsidRPr="00D232A6">
        <w:rPr>
          <w:sz w:val="20"/>
          <w:szCs w:val="20"/>
          <w:lang w:val="en-US"/>
        </w:rPr>
        <w:t>Code</w:t>
      </w:r>
      <w:r w:rsidRPr="005204D9">
        <w:rPr>
          <w:sz w:val="20"/>
          <w:szCs w:val="20"/>
        </w:rPr>
        <w:t xml:space="preserve"> </w:t>
      </w:r>
      <w:r>
        <w:rPr>
          <w:sz w:val="20"/>
          <w:szCs w:val="20"/>
        </w:rPr>
        <w:t>η</w:t>
      </w:r>
      <w:r w:rsidRPr="005204D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δικαιοδοσία αποστολής του </w:t>
      </w:r>
      <w:r>
        <w:rPr>
          <w:sz w:val="20"/>
          <w:szCs w:val="20"/>
          <w:lang w:val="en-US"/>
        </w:rPr>
        <w:t>AccountReport.</w:t>
      </w:r>
    </w:p>
    <w:p w:rsidR="00F12D78" w:rsidRPr="00F12D78" w:rsidRDefault="00F12D78" w:rsidP="00F12D78">
      <w:pPr>
        <w:pStyle w:val="a5"/>
        <w:numPr>
          <w:ilvl w:val="0"/>
          <w:numId w:val="3"/>
        </w:numPr>
        <w:rPr>
          <w:rStyle w:val="CodeChar"/>
          <w:rFonts w:asciiTheme="minorHAnsi" w:eastAsiaTheme="minorHAnsi" w:hAnsiTheme="minorHAnsi" w:cstheme="minorBidi"/>
          <w:noProof w:val="0"/>
          <w:sz w:val="22"/>
          <w:szCs w:val="22"/>
          <w:lang w:val="en-US"/>
        </w:rPr>
      </w:pP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 xml:space="preserve">DocRefId in  </w:t>
      </w:r>
      <w:r>
        <w:rPr>
          <w:rStyle w:val="CodeChar"/>
          <w:rFonts w:asciiTheme="minorHAnsi" w:eastAsiaTheme="minorHAnsi" w:hAnsiTheme="minorHAnsi"/>
          <w:b/>
          <w:sz w:val="22"/>
          <w:szCs w:val="22"/>
          <w:lang w:val="en-US"/>
        </w:rPr>
        <w:t>R</w:t>
      </w:r>
      <w:r w:rsidRPr="00F12D78">
        <w:rPr>
          <w:rStyle w:val="CodeChar"/>
          <w:rFonts w:asciiTheme="minorHAnsi" w:eastAsiaTheme="minorHAnsi" w:hAnsiTheme="minorHAnsi"/>
          <w:b/>
          <w:sz w:val="22"/>
          <w:szCs w:val="22"/>
        </w:rPr>
        <w:t>eportingFi</w:t>
      </w:r>
      <w:r w:rsidRPr="00F12D78">
        <w:rPr>
          <w:rStyle w:val="CodeChar"/>
          <w:rFonts w:asciiTheme="minorHAnsi" w:eastAsiaTheme="minorHAnsi" w:hAnsiTheme="minorHAnsi"/>
          <w:sz w:val="22"/>
          <w:szCs w:val="22"/>
        </w:rPr>
        <w:t xml:space="preserve">: </w:t>
      </w:r>
    </w:p>
    <w:p w:rsidR="00F12D78" w:rsidRPr="00F12D78" w:rsidRDefault="00F12D78" w:rsidP="00F12D78">
      <w:pPr>
        <w:ind w:firstLine="720"/>
        <w:rPr>
          <w:lang w:val="en-US"/>
        </w:rPr>
      </w:pPr>
      <w:r w:rsidRPr="00F12D78">
        <w:rPr>
          <w:lang w:val="en-US"/>
        </w:rPr>
        <w:t>GR&lt; Year of Reporting Period &gt;&lt;VAT Number&gt;FI&lt;UniqueId&gt;</w:t>
      </w:r>
    </w:p>
    <w:p w:rsidR="00F12D78" w:rsidRPr="00EE5510" w:rsidRDefault="00F12D78">
      <w:pPr>
        <w:rPr>
          <w:b/>
        </w:rPr>
      </w:pPr>
      <w:r>
        <w:rPr>
          <w:b/>
        </w:rPr>
        <w:t>Οι</w:t>
      </w:r>
      <w:r w:rsidRPr="00EE5510">
        <w:rPr>
          <w:b/>
        </w:rPr>
        <w:t xml:space="preserve"> </w:t>
      </w:r>
      <w:r>
        <w:rPr>
          <w:b/>
        </w:rPr>
        <w:t>παρακάτω</w:t>
      </w:r>
      <w:r w:rsidRPr="00EE5510">
        <w:rPr>
          <w:b/>
        </w:rPr>
        <w:t xml:space="preserve"> </w:t>
      </w:r>
      <w:r>
        <w:rPr>
          <w:b/>
        </w:rPr>
        <w:t>κανόνες</w:t>
      </w:r>
      <w:r w:rsidRPr="00EE5510">
        <w:rPr>
          <w:b/>
        </w:rPr>
        <w:t xml:space="preserve"> </w:t>
      </w:r>
      <w:r>
        <w:rPr>
          <w:b/>
        </w:rPr>
        <w:t>που</w:t>
      </w:r>
      <w:r w:rsidRPr="00EE5510">
        <w:rPr>
          <w:b/>
        </w:rPr>
        <w:t xml:space="preserve"> </w:t>
      </w:r>
      <w:r>
        <w:rPr>
          <w:b/>
        </w:rPr>
        <w:t>περιγράφονται</w:t>
      </w:r>
      <w:r w:rsidRPr="00EE5510">
        <w:rPr>
          <w:b/>
        </w:rPr>
        <w:t xml:space="preserve"> </w:t>
      </w:r>
      <w:r w:rsidR="00EE5510">
        <w:rPr>
          <w:b/>
        </w:rPr>
        <w:t>στο</w:t>
      </w:r>
      <w:r w:rsidR="00EE5510" w:rsidRPr="00EE5510">
        <w:rPr>
          <w:b/>
        </w:rPr>
        <w:t xml:space="preserve"> </w:t>
      </w:r>
      <w:r w:rsidR="00EE5510">
        <w:rPr>
          <w:b/>
        </w:rPr>
        <w:t>αρχείο</w:t>
      </w:r>
      <w:r w:rsidR="00EE5510" w:rsidRPr="00EE5510">
        <w:rPr>
          <w:b/>
        </w:rPr>
        <w:t xml:space="preserve"> </w:t>
      </w:r>
      <w:hyperlink r:id="rId9" w:history="1">
        <w:r w:rsidR="00EE5510" w:rsidRPr="00EE5510">
          <w:rPr>
            <w:rStyle w:val="-"/>
            <w:b/>
          </w:rPr>
          <w:t>«</w:t>
        </w:r>
        <w:r w:rsidR="00EE5510" w:rsidRPr="00EE5510">
          <w:rPr>
            <w:rStyle w:val="-"/>
            <w:b/>
            <w:lang w:val="en-US"/>
          </w:rPr>
          <w:t>VALIDATION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OF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BUSINNESS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RULES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AND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TECHNICAL</w:t>
        </w:r>
        <w:r w:rsidR="00EE5510" w:rsidRPr="00EE5510">
          <w:rPr>
            <w:rStyle w:val="-"/>
            <w:b/>
          </w:rPr>
          <w:t xml:space="preserve"> </w:t>
        </w:r>
        <w:r w:rsidR="00EE5510" w:rsidRPr="00EE5510">
          <w:rPr>
            <w:rStyle w:val="-"/>
            <w:b/>
            <w:lang w:val="en-US"/>
          </w:rPr>
          <w:t>RULES</w:t>
        </w:r>
        <w:r w:rsidR="00EE5510" w:rsidRPr="00EE5510">
          <w:rPr>
            <w:rStyle w:val="-"/>
            <w:b/>
          </w:rPr>
          <w:t>»</w:t>
        </w:r>
      </w:hyperlink>
      <w:r w:rsidRPr="00EE5510">
        <w:rPr>
          <w:b/>
        </w:rPr>
        <w:t xml:space="preserve"> </w:t>
      </w:r>
      <w:r w:rsidR="00EE5510" w:rsidRPr="00EE5510">
        <w:rPr>
          <w:b/>
        </w:rPr>
        <w:t xml:space="preserve">, </w:t>
      </w:r>
      <w:r w:rsidR="00EE5510">
        <w:rPr>
          <w:b/>
        </w:rPr>
        <w:t>που</w:t>
      </w:r>
      <w:r w:rsidR="00EE5510" w:rsidRPr="00EE5510">
        <w:rPr>
          <w:b/>
        </w:rPr>
        <w:t xml:space="preserve"> </w:t>
      </w:r>
      <w:r w:rsidR="00EE5510">
        <w:rPr>
          <w:b/>
        </w:rPr>
        <w:t>έχει</w:t>
      </w:r>
      <w:r w:rsidR="00EE5510" w:rsidRPr="00EE5510">
        <w:rPr>
          <w:b/>
        </w:rPr>
        <w:t xml:space="preserve"> </w:t>
      </w:r>
      <w:r w:rsidR="00EE5510">
        <w:rPr>
          <w:b/>
        </w:rPr>
        <w:t xml:space="preserve">δημοσιευθεί στο </w:t>
      </w:r>
      <w:r w:rsidR="00EE5510">
        <w:rPr>
          <w:b/>
          <w:lang w:val="en-US"/>
        </w:rPr>
        <w:t>site</w:t>
      </w:r>
      <w:r w:rsidR="00EE5510" w:rsidRPr="00EE5510">
        <w:rPr>
          <w:b/>
        </w:rPr>
        <w:t xml:space="preserve"> </w:t>
      </w:r>
      <w:r w:rsidR="00EE5510">
        <w:rPr>
          <w:b/>
        </w:rPr>
        <w:t xml:space="preserve">της ΑΑΔΕ, </w:t>
      </w:r>
      <w:r>
        <w:rPr>
          <w:b/>
        </w:rPr>
        <w:t>δε</w:t>
      </w:r>
      <w:r w:rsidRPr="00EE5510">
        <w:rPr>
          <w:b/>
        </w:rPr>
        <w:t xml:space="preserve"> </w:t>
      </w:r>
      <w:r>
        <w:rPr>
          <w:b/>
        </w:rPr>
        <w:t>θα</w:t>
      </w:r>
      <w:r w:rsidRPr="00EE5510">
        <w:rPr>
          <w:b/>
        </w:rPr>
        <w:t xml:space="preserve"> </w:t>
      </w:r>
      <w:r>
        <w:rPr>
          <w:b/>
        </w:rPr>
        <w:t>ισχύουν</w:t>
      </w:r>
      <w:r w:rsidRPr="00EE5510">
        <w:rPr>
          <w:b/>
        </w:rPr>
        <w:t xml:space="preserve"> </w:t>
      </w:r>
      <w:r>
        <w:rPr>
          <w:b/>
        </w:rPr>
        <w:t>για</w:t>
      </w:r>
      <w:r w:rsidRPr="00EE5510">
        <w:rPr>
          <w:b/>
        </w:rPr>
        <w:t xml:space="preserve"> </w:t>
      </w:r>
      <w:r>
        <w:rPr>
          <w:b/>
        </w:rPr>
        <w:t>την</w:t>
      </w:r>
      <w:r w:rsidRPr="00EE5510">
        <w:rPr>
          <w:b/>
        </w:rPr>
        <w:t xml:space="preserve"> </w:t>
      </w:r>
      <w:r>
        <w:rPr>
          <w:b/>
        </w:rPr>
        <w:t>υποβολή</w:t>
      </w:r>
      <w:r w:rsidRPr="00EE5510">
        <w:rPr>
          <w:b/>
        </w:rPr>
        <w:t xml:space="preserve"> </w:t>
      </w:r>
      <w:r>
        <w:rPr>
          <w:b/>
        </w:rPr>
        <w:t>αρχείων</w:t>
      </w:r>
      <w:r w:rsidRPr="00EE5510">
        <w:rPr>
          <w:b/>
        </w:rPr>
        <w:t xml:space="preserve"> </w:t>
      </w:r>
      <w:r>
        <w:rPr>
          <w:b/>
          <w:lang w:val="en-US"/>
        </w:rPr>
        <w:t>DAC</w:t>
      </w:r>
      <w:r w:rsidRPr="00EE5510">
        <w:rPr>
          <w:b/>
        </w:rPr>
        <w:t>2/</w:t>
      </w:r>
      <w:r>
        <w:rPr>
          <w:b/>
          <w:lang w:val="en-US"/>
        </w:rPr>
        <w:t>CRS</w:t>
      </w:r>
      <w:r w:rsidRPr="00EE5510">
        <w:rPr>
          <w:b/>
        </w:rPr>
        <w:t xml:space="preserve"> </w:t>
      </w:r>
      <w:r>
        <w:rPr>
          <w:b/>
        </w:rPr>
        <w:t>στην</w:t>
      </w:r>
      <w:r w:rsidRPr="00EE5510">
        <w:rPr>
          <w:b/>
        </w:rPr>
        <w:t xml:space="preserve"> </w:t>
      </w:r>
      <w:r>
        <w:rPr>
          <w:b/>
        </w:rPr>
        <w:t>ΑΑΔΕ</w:t>
      </w:r>
      <w:r w:rsidRPr="00EE5510">
        <w:rPr>
          <w:b/>
        </w:rPr>
        <w:t>:</w:t>
      </w:r>
    </w:p>
    <w:p w:rsidR="00F12D78" w:rsidRDefault="001C5DF7" w:rsidP="00F12D78">
      <w:pPr>
        <w:pStyle w:val="a5"/>
        <w:numPr>
          <w:ilvl w:val="0"/>
          <w:numId w:val="1"/>
        </w:numPr>
        <w:rPr>
          <w:b/>
          <w:lang w:val="en-US"/>
        </w:rPr>
      </w:pPr>
      <w:r w:rsidRPr="00F12D78">
        <w:rPr>
          <w:b/>
          <w:lang w:val="en-US"/>
        </w:rPr>
        <w:t xml:space="preserve">FA-BR-0151, </w:t>
      </w:r>
    </w:p>
    <w:p w:rsidR="00F12D78" w:rsidRDefault="006501D1" w:rsidP="00F12D78">
      <w:pPr>
        <w:pStyle w:val="a5"/>
        <w:numPr>
          <w:ilvl w:val="0"/>
          <w:numId w:val="1"/>
        </w:numPr>
        <w:rPr>
          <w:b/>
          <w:lang w:val="en-US"/>
        </w:rPr>
      </w:pPr>
      <w:r w:rsidRPr="00F12D78">
        <w:rPr>
          <w:b/>
          <w:lang w:val="en-US"/>
        </w:rPr>
        <w:t xml:space="preserve">FA-BR-0141, </w:t>
      </w:r>
    </w:p>
    <w:p w:rsidR="00F12D78" w:rsidRDefault="007A734B" w:rsidP="00F12D78">
      <w:pPr>
        <w:pStyle w:val="a5"/>
        <w:numPr>
          <w:ilvl w:val="0"/>
          <w:numId w:val="1"/>
        </w:numPr>
        <w:rPr>
          <w:b/>
          <w:lang w:val="en-US"/>
        </w:rPr>
      </w:pPr>
      <w:r w:rsidRPr="00F12D78">
        <w:rPr>
          <w:b/>
          <w:lang w:val="en-US"/>
        </w:rPr>
        <w:t xml:space="preserve">CDE-BR-0081, </w:t>
      </w:r>
    </w:p>
    <w:p w:rsidR="00F12D78" w:rsidRDefault="005048B1" w:rsidP="00F12D78">
      <w:pPr>
        <w:pStyle w:val="a5"/>
        <w:numPr>
          <w:ilvl w:val="0"/>
          <w:numId w:val="1"/>
        </w:numPr>
        <w:rPr>
          <w:b/>
          <w:lang w:val="en-US"/>
        </w:rPr>
      </w:pPr>
      <w:r w:rsidRPr="00F12D78">
        <w:rPr>
          <w:b/>
          <w:lang w:val="en-US"/>
        </w:rPr>
        <w:t>CDE-BR-0131</w:t>
      </w:r>
      <w:r w:rsidR="00A8626F" w:rsidRPr="00F12D78">
        <w:rPr>
          <w:b/>
          <w:lang w:val="en-US"/>
        </w:rPr>
        <w:t xml:space="preserve"> </w:t>
      </w:r>
      <w:r w:rsidR="00F12D78">
        <w:rPr>
          <w:b/>
        </w:rPr>
        <w:t>και</w:t>
      </w:r>
      <w:r w:rsidR="003D0E51" w:rsidRPr="00F12D78">
        <w:rPr>
          <w:b/>
          <w:lang w:val="en-US"/>
        </w:rPr>
        <w:t xml:space="preserve"> </w:t>
      </w:r>
    </w:p>
    <w:p w:rsidR="001B6826" w:rsidRPr="00027931" w:rsidRDefault="003D0E51" w:rsidP="001B6826">
      <w:pPr>
        <w:pStyle w:val="a5"/>
        <w:numPr>
          <w:ilvl w:val="0"/>
          <w:numId w:val="1"/>
        </w:numPr>
        <w:rPr>
          <w:b/>
          <w:lang w:val="en-US"/>
        </w:rPr>
      </w:pPr>
      <w:r w:rsidRPr="00F12D78">
        <w:rPr>
          <w:b/>
          <w:lang w:val="en-US"/>
        </w:rPr>
        <w:t>CDE-BR-0061</w:t>
      </w:r>
      <w:r w:rsidRPr="00F12D78">
        <w:rPr>
          <w:lang w:val="en-US"/>
        </w:rPr>
        <w:t xml:space="preserve"> </w:t>
      </w:r>
    </w:p>
    <w:p w:rsidR="00D5568F" w:rsidRDefault="00D5568F" w:rsidP="00D5568F">
      <w:pPr>
        <w:pStyle w:val="a5"/>
        <w:spacing w:after="0" w:line="240" w:lineRule="auto"/>
        <w:ind w:left="765"/>
        <w:rPr>
          <w:rFonts w:eastAsia="Times New Roman"/>
          <w:color w:val="000000"/>
          <w:sz w:val="24"/>
          <w:szCs w:val="24"/>
        </w:rPr>
      </w:pPr>
    </w:p>
    <w:p w:rsidR="00D5568F" w:rsidRPr="00D5568F" w:rsidRDefault="00D5568F" w:rsidP="00D5568F">
      <w:pP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  <w:r w:rsidRPr="00D5568F">
        <w:rPr>
          <w:rFonts w:eastAsia="Times New Roman"/>
          <w:b/>
          <w:color w:val="000000"/>
          <w:sz w:val="24"/>
          <w:szCs w:val="24"/>
          <w:u w:val="single"/>
        </w:rPr>
        <w:t>Οδηγίες δημιουργίας αναφορών</w:t>
      </w:r>
    </w:p>
    <w:p w:rsidR="00D5568F" w:rsidRPr="000E255D" w:rsidRDefault="00D5568F" w:rsidP="000E255D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EB3ADA">
        <w:rPr>
          <w:rFonts w:eastAsia="Times New Roman"/>
          <w:color w:val="000000"/>
          <w:sz w:val="24"/>
          <w:szCs w:val="24"/>
        </w:rPr>
        <w:t xml:space="preserve">Η σήμανση των εγγραφών που χρησιμοποιούνται στο </w:t>
      </w:r>
      <w:r w:rsidRPr="00176F66">
        <w:rPr>
          <w:rFonts w:eastAsia="Times New Roman"/>
          <w:b/>
          <w:color w:val="000000"/>
          <w:sz w:val="24"/>
          <w:szCs w:val="24"/>
        </w:rPr>
        <w:t>παραγωγικό</w:t>
      </w:r>
      <w:r w:rsidRPr="00EB3ADA">
        <w:rPr>
          <w:rFonts w:eastAsia="Times New Roman"/>
          <w:color w:val="000000"/>
          <w:sz w:val="24"/>
          <w:szCs w:val="24"/>
        </w:rPr>
        <w:t xml:space="preserve"> περιβάλλον θα πρέπει να είναι της μορφής OECD0, OECD</w:t>
      </w:r>
      <w:r>
        <w:rPr>
          <w:rFonts w:eastAsia="Times New Roman"/>
          <w:color w:val="000000"/>
          <w:sz w:val="24"/>
          <w:szCs w:val="24"/>
        </w:rPr>
        <w:t>1</w:t>
      </w:r>
      <w:r w:rsidRPr="00EB3ADA">
        <w:rPr>
          <w:rFonts w:eastAsia="Times New Roman"/>
          <w:color w:val="000000"/>
          <w:sz w:val="24"/>
          <w:szCs w:val="24"/>
        </w:rPr>
        <w:t xml:space="preserve"> κλπ. σύμφωνα με τις προδιαγραφές του Common Reporting Standard (CRS) του Ο.Ο.Σ.Α.</w:t>
      </w:r>
    </w:p>
    <w:p w:rsidR="00D5568F" w:rsidRDefault="00D5568F" w:rsidP="000E255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Ό</w:t>
      </w:r>
      <w:r w:rsidRPr="00EB3ADA">
        <w:t xml:space="preserve">λα τα στοιχεία θα πρέπει να υποβάλλονται από τα  Χ.Ι. σε αρχεία με κωδικοποίηση </w:t>
      </w:r>
      <w:r w:rsidRPr="00EB3ADA">
        <w:rPr>
          <w:lang w:val="en-US"/>
        </w:rPr>
        <w:t>UTF</w:t>
      </w:r>
      <w:r w:rsidRPr="00EB3ADA">
        <w:t>-8</w:t>
      </w:r>
      <w:r w:rsidR="00EE5510">
        <w:t xml:space="preserve">, που δεν πρέπει να περιέχουν το χαρακτήρα </w:t>
      </w:r>
      <w:r w:rsidR="00EE5510">
        <w:rPr>
          <w:lang w:val="en-US"/>
        </w:rPr>
        <w:t>BOM</w:t>
      </w:r>
      <w:r w:rsidR="00EE5510" w:rsidRPr="00EE5510">
        <w:t xml:space="preserve"> </w:t>
      </w:r>
      <w:r w:rsidRPr="00EB3ADA">
        <w:t xml:space="preserve"> και όλες οι πληροφορίες που περιέχονται σε αυτά θα πρέπει να αποτυπώνονται στο Λατινικό αλφάβητο, εφαρμόζοντας τα διεθνή πρότυπα μεταγραφής και μεταγραμματισμού (π.χ. </w:t>
      </w:r>
      <w:r w:rsidRPr="00EB3ADA">
        <w:rPr>
          <w:lang w:val="en-US"/>
        </w:rPr>
        <w:t>ISO</w:t>
      </w:r>
      <w:r w:rsidRPr="00EB3ADA">
        <w:t xml:space="preserve"> 843) . </w:t>
      </w:r>
    </w:p>
    <w:p w:rsidR="00EE5510" w:rsidRPr="00EE5510" w:rsidRDefault="00D5568F" w:rsidP="00184869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Από τα αλφαριθμητικά πεδία θα πρέπει να έχουν αποκοπεί </w:t>
      </w:r>
      <w:r w:rsidR="000E255D">
        <w:t>τυχόν</w:t>
      </w:r>
      <w:r>
        <w:t xml:space="preserve"> κενοί </w:t>
      </w:r>
      <w:r w:rsidR="005204D9">
        <w:t>χαρακτήρες</w:t>
      </w:r>
      <w:r>
        <w:t xml:space="preserve"> στην δεξιά πλευρά τους.</w:t>
      </w:r>
      <w:r w:rsidR="00EE5510" w:rsidRPr="00EE5510">
        <w:t xml:space="preserve"> </w:t>
      </w:r>
      <w:r w:rsidR="00EE5510">
        <w:t>Επίσης θα πρέπει να έχουν αποκοπεί τυχόν κενοί χαρακτήρες στο τέλος κάθε γραμμής.</w:t>
      </w:r>
    </w:p>
    <w:p w:rsidR="000E255D" w:rsidRPr="00EE5510" w:rsidRDefault="00D5568F" w:rsidP="00184869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 Κάθε υποβαλλόμενο αρχείο μπορεί να έχει μέχρι 20.000 αναφερόμενους λογαριασμούς.(</w:t>
      </w:r>
      <w:r w:rsidRPr="00EE5510">
        <w:rPr>
          <w:lang w:val="en-US"/>
        </w:rPr>
        <w:t>AccountReports</w:t>
      </w:r>
      <w:r w:rsidRPr="00F4153D">
        <w:t>).</w:t>
      </w:r>
      <w:r>
        <w:t xml:space="preserve">Αν πρέπει να αναφερθούν περισσότεροι λογαριασμοί </w:t>
      </w:r>
      <w:r w:rsidR="00BF7C40">
        <w:t>πρέπει</w:t>
      </w:r>
      <w:r>
        <w:t xml:space="preserve"> να υποβληθ</w:t>
      </w:r>
      <w:r w:rsidR="000E255D">
        <w:t>ούν περισσότερα του ενός αρχεία.</w:t>
      </w:r>
    </w:p>
    <w:p w:rsidR="00D5568F" w:rsidRPr="000E255D" w:rsidRDefault="000E255D" w:rsidP="000E255D">
      <w:pPr>
        <w:pStyle w:val="a5"/>
        <w:spacing w:after="0" w:line="240" w:lineRule="auto"/>
        <w:ind w:left="765"/>
        <w:jc w:val="both"/>
        <w:rPr>
          <w:b/>
        </w:rPr>
      </w:pPr>
      <w:r>
        <w:t xml:space="preserve"> </w:t>
      </w:r>
      <w:r w:rsidRPr="000E255D">
        <w:rPr>
          <w:b/>
          <w:u w:val="single"/>
        </w:rPr>
        <w:t>Προσοχή!</w:t>
      </w:r>
      <w:r w:rsidRPr="000E255D">
        <w:rPr>
          <w:b/>
        </w:rPr>
        <w:t xml:space="preserve"> στην περίπτωση αυτή εφαρμόζεται η εξής διαδικασία: στο πρώτο αρχείο που θα υποβάλετε θα πρέπει να συμπληρώσετε </w:t>
      </w:r>
      <w:r w:rsidR="00584DDA" w:rsidRPr="000E255D">
        <w:rPr>
          <w:b/>
        </w:rPr>
        <w:t xml:space="preserve">στο </w:t>
      </w:r>
      <w:r w:rsidR="00584DDA" w:rsidRPr="000E255D">
        <w:rPr>
          <w:b/>
          <w:lang w:val="en-US"/>
        </w:rPr>
        <w:t>element</w:t>
      </w:r>
      <w:r w:rsidR="00584DDA" w:rsidRPr="000E255D">
        <w:rPr>
          <w:b/>
        </w:rPr>
        <w:t xml:space="preserve"> </w:t>
      </w:r>
      <w:r w:rsidR="00584DDA" w:rsidRPr="000E255D">
        <w:rPr>
          <w:b/>
          <w:lang w:val="en-US"/>
        </w:rPr>
        <w:t>DocSpec</w:t>
      </w:r>
      <w:r w:rsidR="00584DDA" w:rsidRPr="000E255D">
        <w:rPr>
          <w:b/>
        </w:rPr>
        <w:t xml:space="preserve"> του </w:t>
      </w:r>
      <w:r w:rsidR="00584DDA" w:rsidRPr="000E255D">
        <w:rPr>
          <w:b/>
          <w:lang w:val="en-US"/>
        </w:rPr>
        <w:t>ReportingFI</w:t>
      </w:r>
      <w:r w:rsidR="00584DDA">
        <w:rPr>
          <w:b/>
        </w:rPr>
        <w:t>,</w:t>
      </w:r>
      <w:r w:rsidR="00584DDA" w:rsidRPr="000E255D">
        <w:rPr>
          <w:b/>
        </w:rPr>
        <w:t xml:space="preserve"> </w:t>
      </w:r>
      <w:r w:rsidRPr="000E255D">
        <w:rPr>
          <w:b/>
        </w:rPr>
        <w:t xml:space="preserve">DocTypeIndic:OECD1 και ένα </w:t>
      </w:r>
      <w:r w:rsidR="00584DDA">
        <w:rPr>
          <w:b/>
        </w:rPr>
        <w:t xml:space="preserve">νέο </w:t>
      </w:r>
      <w:r w:rsidRPr="000E255D">
        <w:rPr>
          <w:b/>
        </w:rPr>
        <w:t xml:space="preserve">μοναδικό </w:t>
      </w:r>
      <w:r w:rsidRPr="000E255D">
        <w:rPr>
          <w:b/>
          <w:lang w:val="en-US"/>
        </w:rPr>
        <w:t>DocRefId</w:t>
      </w:r>
      <w:r w:rsidRPr="000E255D">
        <w:rPr>
          <w:b/>
        </w:rPr>
        <w:t xml:space="preserve">, ενώ στα </w:t>
      </w:r>
      <w:r w:rsidRPr="000E255D">
        <w:rPr>
          <w:b/>
        </w:rPr>
        <w:lastRenderedPageBreak/>
        <w:t>συμπληρωματικά αρχεία θα πρέπει να  συμπληρώσετε DocTypeIndic:OECD0 (</w:t>
      </w:r>
      <w:r w:rsidRPr="000E255D">
        <w:rPr>
          <w:b/>
          <w:lang w:val="en-US"/>
        </w:rPr>
        <w:t>Resend</w:t>
      </w:r>
      <w:r w:rsidRPr="000E255D">
        <w:rPr>
          <w:b/>
        </w:rPr>
        <w:t xml:space="preserve"> </w:t>
      </w:r>
      <w:r w:rsidRPr="000E255D">
        <w:rPr>
          <w:b/>
          <w:lang w:val="en-US"/>
        </w:rPr>
        <w:t>Data</w:t>
      </w:r>
      <w:r w:rsidRPr="000E255D">
        <w:rPr>
          <w:b/>
        </w:rPr>
        <w:t xml:space="preserve">) και το </w:t>
      </w:r>
      <w:r w:rsidRPr="000E255D">
        <w:rPr>
          <w:b/>
          <w:lang w:val="en-US"/>
        </w:rPr>
        <w:t>DocRefId</w:t>
      </w:r>
      <w:r w:rsidRPr="000E255D">
        <w:rPr>
          <w:b/>
        </w:rPr>
        <w:t xml:space="preserve"> του πρώτου αρχείου.</w:t>
      </w:r>
    </w:p>
    <w:p w:rsidR="00D5568F" w:rsidRDefault="00D5568F" w:rsidP="000E255D">
      <w:pPr>
        <w:pStyle w:val="a5"/>
        <w:jc w:val="both"/>
      </w:pPr>
    </w:p>
    <w:p w:rsidR="005E5D2D" w:rsidRPr="005E5D2D" w:rsidRDefault="005E5D2D" w:rsidP="005E5D2D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6"/>
          <w:b w:val="0"/>
          <w:bCs w:val="0"/>
        </w:rPr>
      </w:pPr>
      <w:r>
        <w:t xml:space="preserve">Αν ένας λογαριασμός πρέπει να αναφερθεί σε δυο δικαιοδοσίες τότε η αναφορά θα πρέπει να έχει δυο(2) </w:t>
      </w:r>
      <w:r>
        <w:rPr>
          <w:lang w:val="en-US"/>
        </w:rPr>
        <w:t>Elements</w:t>
      </w:r>
      <w:r>
        <w:t xml:space="preserve"> </w:t>
      </w:r>
      <w:r>
        <w:rPr>
          <w:lang w:val="en-US"/>
        </w:rPr>
        <w:t>AccountReport</w:t>
      </w:r>
      <w:r w:rsidRPr="00660EDC">
        <w:t>,</w:t>
      </w:r>
      <w:r>
        <w:t>το καθένα από τα οποία θα απευθύνεται σε διαφορετική δικαιοδοσία.</w:t>
      </w:r>
    </w:p>
    <w:p w:rsidR="00B227FD" w:rsidRPr="00B227FD" w:rsidRDefault="009D7164" w:rsidP="00B227F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bCs w:val="0"/>
        </w:rPr>
      </w:pPr>
      <w:r w:rsidRPr="00B227FD">
        <w:rPr>
          <w:rStyle w:val="a6"/>
          <w:rFonts w:ascii="Calibri" w:hAnsi="Calibri"/>
          <w:b w:val="0"/>
        </w:rPr>
        <w:t>Σε περίπτωση</w:t>
      </w:r>
      <w:r w:rsidR="00B227FD" w:rsidRPr="00B227FD">
        <w:rPr>
          <w:rStyle w:val="a6"/>
          <w:rFonts w:ascii="Calibri" w:hAnsi="Calibri"/>
          <w:b w:val="0"/>
        </w:rPr>
        <w:t xml:space="preserve"> που</w:t>
      </w:r>
      <w:r w:rsidRPr="00B227FD">
        <w:rPr>
          <w:rStyle w:val="a6"/>
          <w:rFonts w:ascii="Calibri" w:hAnsi="Calibri"/>
          <w:b w:val="0"/>
        </w:rPr>
        <w:t xml:space="preserve"> κατά την εφαρμογή των κανόνων δέουσας επιμέλειας </w:t>
      </w:r>
      <w:r w:rsidR="00B227FD" w:rsidRPr="00B227FD">
        <w:rPr>
          <w:rStyle w:val="a6"/>
          <w:rFonts w:ascii="Calibri" w:hAnsi="Calibri"/>
          <w:b w:val="0"/>
        </w:rPr>
        <w:t>απ</w:t>
      </w:r>
      <w:r w:rsidRPr="00B227FD">
        <w:rPr>
          <w:rStyle w:val="a6"/>
          <w:rFonts w:ascii="Calibri" w:hAnsi="Calibri"/>
          <w:b w:val="0"/>
        </w:rPr>
        <w:t>ό τ</w:t>
      </w:r>
      <w:r w:rsidR="00B227FD" w:rsidRPr="00B227FD">
        <w:rPr>
          <w:rStyle w:val="a6"/>
          <w:rFonts w:ascii="Calibri" w:hAnsi="Calibri"/>
          <w:b w:val="0"/>
        </w:rPr>
        <w:t>ο</w:t>
      </w:r>
      <w:r w:rsidRPr="00B227FD">
        <w:rPr>
          <w:rStyle w:val="a6"/>
          <w:rFonts w:ascii="Calibri" w:hAnsi="Calibri"/>
          <w:b w:val="0"/>
        </w:rPr>
        <w:t xml:space="preserve"> Χ.Ι. έχουν προσδιοριστεί για ένα αναφερόμενο πρόσωπο ή οργανισμό ως φορολογικές κατοικίες περισσότερες της μιας αλλοδαπής δικαιοδοσίας, τότε τα στοιχεία τους πρέπει να αποστέλλονται προς όλες αυτές τις δικαιοδοσίες, υπό την προϋπόθεση ότι είναι Δηλωτέες Δικαιοδοσίες</w:t>
      </w:r>
      <w:r w:rsidR="00B227FD" w:rsidRPr="00B227FD">
        <w:rPr>
          <w:rStyle w:val="a6"/>
          <w:rFonts w:ascii="Calibri" w:hAnsi="Calibri"/>
          <w:b w:val="0"/>
        </w:rPr>
        <w:t>.</w:t>
      </w:r>
    </w:p>
    <w:p w:rsidR="00B227FD" w:rsidRPr="005E5D2D" w:rsidRDefault="00A07DCD" w:rsidP="00A07DCD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bCs w:val="0"/>
        </w:rPr>
      </w:pPr>
      <w:r>
        <w:rPr>
          <w:rStyle w:val="a6"/>
          <w:rFonts w:ascii="Calibri" w:hAnsi="Calibri"/>
          <w:b w:val="0"/>
        </w:rPr>
        <w:t xml:space="preserve">Θα πρέπει να δοθεί ιδιαίτερη προσοχή στον τρόπο αναφοράς </w:t>
      </w:r>
      <w:r>
        <w:rPr>
          <w:rStyle w:val="a6"/>
          <w:rFonts w:ascii="Calibri" w:hAnsi="Calibri"/>
          <w:b w:val="0"/>
          <w:lang w:val="en-US"/>
        </w:rPr>
        <w:t>Passive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  <w:lang w:val="en-US"/>
        </w:rPr>
        <w:t>NFE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</w:rPr>
        <w:t xml:space="preserve">και των </w:t>
      </w:r>
      <w:r>
        <w:rPr>
          <w:rStyle w:val="a6"/>
          <w:rFonts w:ascii="Calibri" w:hAnsi="Calibri"/>
          <w:b w:val="0"/>
          <w:lang w:val="en-US"/>
        </w:rPr>
        <w:t>Controlling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  <w:lang w:val="en-US"/>
        </w:rPr>
        <w:t>Person</w:t>
      </w:r>
      <w:r w:rsidR="005E5D2D">
        <w:rPr>
          <w:rStyle w:val="a6"/>
          <w:rFonts w:ascii="Calibri" w:hAnsi="Calibri"/>
          <w:b w:val="0"/>
          <w:lang w:val="en-US"/>
        </w:rPr>
        <w:t>s</w:t>
      </w:r>
      <w:r w:rsidRPr="00A07DCD">
        <w:rPr>
          <w:rStyle w:val="a6"/>
          <w:rFonts w:ascii="Calibri" w:hAnsi="Calibri"/>
          <w:b w:val="0"/>
        </w:rPr>
        <w:t xml:space="preserve"> </w:t>
      </w:r>
      <w:r w:rsidR="005E5D2D">
        <w:rPr>
          <w:rStyle w:val="a6"/>
          <w:rFonts w:ascii="Calibri" w:hAnsi="Calibri"/>
          <w:b w:val="0"/>
        </w:rPr>
        <w:t xml:space="preserve">αυτών, όπως </w:t>
      </w:r>
      <w:r>
        <w:rPr>
          <w:rStyle w:val="a6"/>
          <w:rFonts w:ascii="Calibri" w:hAnsi="Calibri"/>
          <w:b w:val="0"/>
        </w:rPr>
        <w:t xml:space="preserve">περιγράφεται στο έγγραφο </w:t>
      </w:r>
      <w:r>
        <w:rPr>
          <w:rStyle w:val="a6"/>
          <w:rFonts w:ascii="Calibri" w:hAnsi="Calibri"/>
          <w:b w:val="0"/>
          <w:lang w:val="en-US"/>
        </w:rPr>
        <w:t>Common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  <w:lang w:val="en-US"/>
        </w:rPr>
        <w:t>Technical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  <w:lang w:val="en-US"/>
        </w:rPr>
        <w:t>Procedures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</w:rPr>
        <w:t xml:space="preserve">(παρ. 2.1 </w:t>
      </w:r>
      <w:r>
        <w:rPr>
          <w:rStyle w:val="a6"/>
          <w:rFonts w:ascii="Calibri" w:hAnsi="Calibri"/>
          <w:b w:val="0"/>
          <w:lang w:val="en-US"/>
        </w:rPr>
        <w:t>example</w:t>
      </w:r>
      <w:r w:rsidRPr="00A07DCD">
        <w:rPr>
          <w:rStyle w:val="a6"/>
          <w:rFonts w:ascii="Calibri" w:hAnsi="Calibri"/>
          <w:b w:val="0"/>
        </w:rPr>
        <w:t xml:space="preserve"> 2.1.1</w:t>
      </w:r>
      <w:r>
        <w:rPr>
          <w:rStyle w:val="a6"/>
          <w:rFonts w:ascii="Calibri" w:hAnsi="Calibri"/>
          <w:b w:val="0"/>
        </w:rPr>
        <w:t xml:space="preserve">) που έχει δημοσιευθεί στο </w:t>
      </w:r>
      <w:r>
        <w:rPr>
          <w:rStyle w:val="a6"/>
          <w:rFonts w:ascii="Calibri" w:hAnsi="Calibri"/>
          <w:b w:val="0"/>
          <w:lang w:val="en-US"/>
        </w:rPr>
        <w:t>site</w:t>
      </w:r>
      <w:r w:rsidRPr="00A07DCD">
        <w:rPr>
          <w:rStyle w:val="a6"/>
          <w:rFonts w:ascii="Calibri" w:hAnsi="Calibri"/>
          <w:b w:val="0"/>
        </w:rPr>
        <w:t xml:space="preserve"> </w:t>
      </w:r>
      <w:r>
        <w:rPr>
          <w:rStyle w:val="a6"/>
          <w:rFonts w:ascii="Calibri" w:hAnsi="Calibri"/>
          <w:b w:val="0"/>
        </w:rPr>
        <w:t xml:space="preserve">της </w:t>
      </w:r>
      <w:r w:rsidRPr="005E5D2D">
        <w:rPr>
          <w:rStyle w:val="a6"/>
          <w:rFonts w:ascii="Calibri" w:hAnsi="Calibri"/>
          <w:b w:val="0"/>
          <w:bCs w:val="0"/>
        </w:rPr>
        <w:t>ΑΑΔΕ</w:t>
      </w:r>
      <w:r>
        <w:rPr>
          <w:rStyle w:val="a6"/>
          <w:rFonts w:ascii="Calibri" w:hAnsi="Calibri"/>
          <w:b w:val="0"/>
        </w:rPr>
        <w:t xml:space="preserve"> </w:t>
      </w:r>
      <w:r w:rsidR="005E5D2D">
        <w:rPr>
          <w:rStyle w:val="a6"/>
          <w:rFonts w:ascii="Calibri" w:hAnsi="Calibri"/>
          <w:b w:val="0"/>
        </w:rPr>
        <w:t xml:space="preserve"> </w:t>
      </w:r>
      <w:hyperlink r:id="rId10" w:history="1">
        <w:r w:rsidR="005E5D2D" w:rsidRPr="005E5D2D">
          <w:rPr>
            <w:rStyle w:val="-"/>
            <w:rFonts w:ascii="Calibri" w:hAnsi="Calibri"/>
          </w:rPr>
          <w:t>εδώ</w:t>
        </w:r>
      </w:hyperlink>
      <w:r w:rsidR="00A819C9">
        <w:rPr>
          <w:rStyle w:val="a6"/>
          <w:rFonts w:ascii="Calibri" w:hAnsi="Calibri"/>
          <w:b w:val="0"/>
        </w:rPr>
        <w:t>.</w:t>
      </w:r>
    </w:p>
    <w:p w:rsidR="00D5568F" w:rsidRDefault="00D5568F" w:rsidP="00B227F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Στα πεδία της αναφοράς,</w:t>
      </w:r>
      <w:r w:rsidR="005E5D2D">
        <w:t xml:space="preserve"> </w:t>
      </w:r>
      <w:r>
        <w:t>τα οποία στο σχήμα των δεδομένων</w:t>
      </w:r>
      <w:r w:rsidR="005E5D2D">
        <w:t xml:space="preserve"> </w:t>
      </w:r>
      <w:r>
        <w:t>(</w:t>
      </w:r>
      <w:r w:rsidR="005E5D2D">
        <w:rPr>
          <w:lang w:val="en-US"/>
        </w:rPr>
        <w:t>x</w:t>
      </w:r>
      <w:r>
        <w:rPr>
          <w:lang w:val="en-US"/>
        </w:rPr>
        <w:t>s</w:t>
      </w:r>
      <w:r w:rsidR="005E5D2D">
        <w:rPr>
          <w:lang w:val="en-US"/>
        </w:rPr>
        <w:t>d</w:t>
      </w:r>
      <w:r>
        <w:t>)</w:t>
      </w:r>
      <w:r w:rsidRPr="00F4153D">
        <w:t xml:space="preserve"> </w:t>
      </w:r>
      <w:r>
        <w:t xml:space="preserve">είναι τύπου  </w:t>
      </w:r>
      <w:r>
        <w:rPr>
          <w:lang w:val="en-US"/>
        </w:rPr>
        <w:t>B</w:t>
      </w:r>
      <w:r>
        <w:t>ΟΟ</w:t>
      </w:r>
      <w:r>
        <w:rPr>
          <w:lang w:val="en-US"/>
        </w:rPr>
        <w:t>LEAN</w:t>
      </w:r>
      <w:r>
        <w:t xml:space="preserve"> </w:t>
      </w:r>
      <w:r w:rsidRPr="00F4153D">
        <w:t>,</w:t>
      </w:r>
      <w:r>
        <w:t>θα πρέπει να αποδίδονται τιμές ‘</w:t>
      </w:r>
      <w:r>
        <w:rPr>
          <w:lang w:val="en-US"/>
        </w:rPr>
        <w:t>True</w:t>
      </w:r>
      <w:r>
        <w:t>’</w:t>
      </w:r>
      <w:r w:rsidRPr="00F4153D">
        <w:t xml:space="preserve"> </w:t>
      </w:r>
      <w:r>
        <w:t xml:space="preserve">ή’ </w:t>
      </w:r>
      <w:r>
        <w:rPr>
          <w:lang w:val="en-US"/>
        </w:rPr>
        <w:t>False</w:t>
      </w:r>
      <w:r>
        <w:t>’</w:t>
      </w:r>
      <w:r w:rsidRPr="00F4153D">
        <w:t xml:space="preserve"> </w:t>
      </w:r>
      <w:r>
        <w:t>και όχι ‘0’ ή ‘1’</w:t>
      </w:r>
      <w:r w:rsidR="005E5D2D" w:rsidRPr="005E5D2D">
        <w:t>.</w:t>
      </w:r>
    </w:p>
    <w:p w:rsidR="00D5568F" w:rsidRDefault="00D5568F" w:rsidP="000E255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Τα πεδία διευθύνσεων μπορούν να συμπληρωθούν με τους παρακάτω συνδυασμούς.</w:t>
      </w:r>
    </w:p>
    <w:p w:rsidR="00D5568F" w:rsidRPr="00BE1FE1" w:rsidRDefault="00D5568F" w:rsidP="000E255D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  <w:rPr>
          <w:lang w:val="en-US"/>
        </w:rPr>
      </w:pPr>
      <w:r w:rsidRPr="00BE1FE1">
        <w:t xml:space="preserve">Μόνο </w:t>
      </w:r>
      <w:r w:rsidRPr="00BE1FE1">
        <w:rPr>
          <w:lang w:val="en-US"/>
        </w:rPr>
        <w:t xml:space="preserve"> AddressFree</w:t>
      </w:r>
    </w:p>
    <w:p w:rsidR="00D5568F" w:rsidRPr="00BE1FE1" w:rsidRDefault="00D5568F" w:rsidP="000E255D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</w:pPr>
      <w:r w:rsidRPr="00BE1FE1">
        <w:rPr>
          <w:lang w:val="en-US"/>
        </w:rPr>
        <w:t>AddressFix</w:t>
      </w:r>
      <w:r w:rsidRPr="00BE1FE1">
        <w:t xml:space="preserve">  με συμπληρωμένη την  </w:t>
      </w:r>
      <w:r>
        <w:t>Πό</w:t>
      </w:r>
      <w:r w:rsidRPr="00BE1FE1">
        <w:t>λη(</w:t>
      </w:r>
      <w:r w:rsidRPr="00BE1FE1">
        <w:rPr>
          <w:lang w:val="en-US"/>
        </w:rPr>
        <w:t>City</w:t>
      </w:r>
      <w:r w:rsidRPr="00BE1FE1">
        <w:t xml:space="preserve">) και  </w:t>
      </w:r>
      <w:r w:rsidRPr="00BE1FE1">
        <w:rPr>
          <w:lang w:val="en-US"/>
        </w:rPr>
        <w:t>AddressFree</w:t>
      </w:r>
    </w:p>
    <w:p w:rsidR="00D5568F" w:rsidRPr="00BE1FE1" w:rsidRDefault="00D5568F" w:rsidP="00B227FD">
      <w:pPr>
        <w:pStyle w:val="a5"/>
        <w:numPr>
          <w:ilvl w:val="1"/>
          <w:numId w:val="1"/>
        </w:numPr>
        <w:spacing w:after="0" w:line="240" w:lineRule="auto"/>
        <w:contextualSpacing w:val="0"/>
        <w:jc w:val="both"/>
      </w:pPr>
      <w:r w:rsidRPr="00BE1FE1">
        <w:t xml:space="preserve">Μόνο </w:t>
      </w:r>
      <w:r w:rsidRPr="00BE1FE1">
        <w:rPr>
          <w:lang w:val="en-US"/>
        </w:rPr>
        <w:t>AddressFix</w:t>
      </w:r>
      <w:r w:rsidRPr="00BE1FE1">
        <w:t xml:space="preserve"> (με συμπ</w:t>
      </w:r>
      <w:r>
        <w:t>λ</w:t>
      </w:r>
      <w:r w:rsidRPr="00BE1FE1">
        <w:t>ηρωμένη την Πόλη(</w:t>
      </w:r>
      <w:r w:rsidRPr="00BE1FE1">
        <w:rPr>
          <w:lang w:val="en-US"/>
        </w:rPr>
        <w:t>City</w:t>
      </w:r>
      <w:r w:rsidRPr="00BE1FE1">
        <w:t>) )</w:t>
      </w:r>
    </w:p>
    <w:p w:rsidR="00655E6B" w:rsidRDefault="00655E6B" w:rsidP="00655E6B">
      <w:pPr>
        <w:pStyle w:val="a5"/>
      </w:pPr>
    </w:p>
    <w:p w:rsidR="00412B2B" w:rsidRPr="00D5568F" w:rsidRDefault="00412B2B" w:rsidP="00D5568F">
      <w:pPr>
        <w:pStyle w:val="a5"/>
        <w:spacing w:after="0" w:line="240" w:lineRule="auto"/>
        <w:ind w:left="765"/>
        <w:contextualSpacing w:val="0"/>
      </w:pPr>
    </w:p>
    <w:p w:rsidR="00412B2B" w:rsidRDefault="00412B2B">
      <w:pPr>
        <w:pBdr>
          <w:bottom w:val="single" w:sz="6" w:space="1" w:color="auto"/>
        </w:pBdr>
        <w:rPr>
          <w:b/>
          <w:lang w:val="en-US"/>
        </w:rPr>
      </w:pPr>
      <w:r>
        <w:rPr>
          <w:b/>
          <w:lang w:val="en-US"/>
        </w:rPr>
        <w:t>Chang</w:t>
      </w:r>
      <w:r w:rsidR="00EE5510">
        <w:rPr>
          <w:b/>
          <w:lang w:val="en-US"/>
        </w:rPr>
        <w:t>e</w:t>
      </w:r>
      <w:r w:rsidR="00402086">
        <w:rPr>
          <w:b/>
          <w:lang w:val="en-US"/>
        </w:rPr>
        <w:t xml:space="preserve"> </w:t>
      </w:r>
      <w:r>
        <w:rPr>
          <w:b/>
          <w:lang w:val="en-US"/>
        </w:rPr>
        <w:t>log</w:t>
      </w:r>
    </w:p>
    <w:p w:rsidR="00412B2B" w:rsidRDefault="00412B2B" w:rsidP="00412B2B">
      <w:pPr>
        <w:pStyle w:val="a5"/>
        <w:numPr>
          <w:ilvl w:val="0"/>
          <w:numId w:val="4"/>
        </w:numPr>
        <w:rPr>
          <w:lang w:val="en-US"/>
        </w:rPr>
      </w:pPr>
      <w:r w:rsidRPr="00B11AE2">
        <w:rPr>
          <w:lang w:val="en-US"/>
        </w:rPr>
        <w:t>Version 1.1</w:t>
      </w:r>
      <w:r w:rsidR="00B11AE2">
        <w:rPr>
          <w:lang w:val="en-US"/>
        </w:rPr>
        <w:t>:</w:t>
      </w:r>
      <w:r w:rsidRPr="00B11AE2">
        <w:rPr>
          <w:lang w:val="en-US"/>
        </w:rPr>
        <w:t xml:space="preserve"> </w:t>
      </w:r>
      <w:r w:rsidR="00B11AE2">
        <w:rPr>
          <w:lang w:val="en-US"/>
        </w:rPr>
        <w:t>R</w:t>
      </w:r>
      <w:r w:rsidR="00B11AE2" w:rsidRPr="00B11AE2">
        <w:rPr>
          <w:lang w:val="en-US"/>
        </w:rPr>
        <w:t>ules GR-BR-0017, GR-BR-0018</w:t>
      </w:r>
      <w:r w:rsidR="00B11AE2">
        <w:rPr>
          <w:lang w:val="en-US"/>
        </w:rPr>
        <w:t xml:space="preserve"> </w:t>
      </w:r>
      <w:r w:rsidR="002F5613">
        <w:rPr>
          <w:lang w:val="en-US"/>
        </w:rPr>
        <w:t>were</w:t>
      </w:r>
      <w:r w:rsidR="00B11AE2">
        <w:rPr>
          <w:lang w:val="en-US"/>
        </w:rPr>
        <w:t xml:space="preserve"> added</w:t>
      </w:r>
      <w:r w:rsidR="00461E7C">
        <w:rPr>
          <w:lang w:val="en-US"/>
        </w:rPr>
        <w:t>.</w:t>
      </w:r>
    </w:p>
    <w:p w:rsidR="00440F7F" w:rsidRDefault="00440F7F" w:rsidP="001B6826">
      <w:pPr>
        <w:pStyle w:val="a5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Version 1.2:</w:t>
      </w:r>
      <w:r w:rsidRPr="00B11AE2">
        <w:rPr>
          <w:lang w:val="en-US"/>
        </w:rPr>
        <w:t xml:space="preserve"> </w:t>
      </w:r>
      <w:r>
        <w:rPr>
          <w:lang w:val="en-US"/>
        </w:rPr>
        <w:t xml:space="preserve">Rule </w:t>
      </w:r>
      <w:r w:rsidRPr="003A1753">
        <w:rPr>
          <w:lang w:val="en-US"/>
        </w:rPr>
        <w:t>GR-BR-0013</w:t>
      </w:r>
      <w:r>
        <w:rPr>
          <w:lang w:val="en-US"/>
        </w:rPr>
        <w:t xml:space="preserve"> changed. If the reporting account is an undocumented account the DocRefId ca</w:t>
      </w:r>
      <w:r w:rsidR="00F65DB6">
        <w:rPr>
          <w:lang w:val="en-US"/>
        </w:rPr>
        <w:t>n end with the GR ISO Code. Please note that in this case rules  GR-BR-0015 and GR-BR-0016 must be fulfilled.</w:t>
      </w:r>
    </w:p>
    <w:p w:rsidR="00440F7F" w:rsidRDefault="00461E7C" w:rsidP="00412B2B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Version 1.2: A note for </w:t>
      </w:r>
      <w:r w:rsidR="00027931">
        <w:rPr>
          <w:lang w:val="en-US"/>
        </w:rPr>
        <w:t>the ClosedAccount</w:t>
      </w:r>
      <w:r>
        <w:rPr>
          <w:lang w:val="en-US"/>
        </w:rPr>
        <w:t xml:space="preserve"> </w:t>
      </w:r>
      <w:r w:rsidR="00027931">
        <w:rPr>
          <w:lang w:val="en-US"/>
        </w:rPr>
        <w:t xml:space="preserve">attribute in AccountNumber </w:t>
      </w:r>
      <w:r>
        <w:rPr>
          <w:lang w:val="en-US"/>
        </w:rPr>
        <w:t>was added.</w:t>
      </w:r>
    </w:p>
    <w:p w:rsidR="00027931" w:rsidRPr="00D5568F" w:rsidRDefault="00027931" w:rsidP="00027931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>Version 1.2: A note for UTF8 and transliteration rules was added.</w:t>
      </w:r>
    </w:p>
    <w:p w:rsidR="00D5568F" w:rsidRDefault="00D5568F" w:rsidP="00027931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>Version 1.3:</w:t>
      </w:r>
      <w:r w:rsidR="002A512D">
        <w:rPr>
          <w:lang w:val="en-US"/>
        </w:rPr>
        <w:t xml:space="preserve"> </w:t>
      </w:r>
      <w:r>
        <w:rPr>
          <w:lang w:val="en-US"/>
        </w:rPr>
        <w:t>General guidelines for xml Reports added.</w:t>
      </w:r>
    </w:p>
    <w:p w:rsidR="00506AA1" w:rsidRPr="00027931" w:rsidRDefault="00506AA1" w:rsidP="00027931">
      <w:pPr>
        <w:pStyle w:val="a5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Version 1.4: New rules </w:t>
      </w:r>
      <w:r>
        <w:rPr>
          <w:lang w:val="en-US"/>
        </w:rPr>
        <w:t>GR-BR-99000</w:t>
      </w:r>
      <w:r>
        <w:rPr>
          <w:lang w:val="en-US"/>
        </w:rPr>
        <w:t xml:space="preserve"> and </w:t>
      </w:r>
      <w:r>
        <w:rPr>
          <w:lang w:val="en-US"/>
        </w:rPr>
        <w:t>GR-BR-99998</w:t>
      </w:r>
      <w:r>
        <w:rPr>
          <w:lang w:val="en-US"/>
        </w:rPr>
        <w:t xml:space="preserve"> added.</w:t>
      </w:r>
    </w:p>
    <w:sectPr w:rsidR="00506AA1" w:rsidRPr="00027931" w:rsidSect="006969D5">
      <w:pgSz w:w="11906" w:h="16838"/>
      <w:pgMar w:top="1270" w:right="1797" w:bottom="127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D5" w:rsidRDefault="006969D5" w:rsidP="006969D5">
      <w:pPr>
        <w:spacing w:after="0" w:line="240" w:lineRule="auto"/>
      </w:pPr>
      <w:r>
        <w:separator/>
      </w:r>
    </w:p>
  </w:endnote>
  <w:endnote w:type="continuationSeparator" w:id="0">
    <w:p w:rsidR="006969D5" w:rsidRDefault="006969D5" w:rsidP="0069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D5" w:rsidRDefault="006969D5" w:rsidP="006969D5">
      <w:pPr>
        <w:spacing w:after="0" w:line="240" w:lineRule="auto"/>
      </w:pPr>
      <w:r>
        <w:separator/>
      </w:r>
    </w:p>
  </w:footnote>
  <w:footnote w:type="continuationSeparator" w:id="0">
    <w:p w:rsidR="006969D5" w:rsidRDefault="006969D5" w:rsidP="0069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57950"/>
    <w:multiLevelType w:val="hybridMultilevel"/>
    <w:tmpl w:val="ADF4D56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9F2B3E"/>
    <w:multiLevelType w:val="hybridMultilevel"/>
    <w:tmpl w:val="419EBFD8"/>
    <w:lvl w:ilvl="0" w:tplc="9FCCD026">
      <w:numFmt w:val="bullet"/>
      <w:lvlText w:val="•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216C"/>
    <w:multiLevelType w:val="hybridMultilevel"/>
    <w:tmpl w:val="828CA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0C29"/>
    <w:multiLevelType w:val="hybridMultilevel"/>
    <w:tmpl w:val="E7B0CC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D7997"/>
    <w:multiLevelType w:val="hybridMultilevel"/>
    <w:tmpl w:val="592EC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97B"/>
    <w:rsid w:val="000128BC"/>
    <w:rsid w:val="00027931"/>
    <w:rsid w:val="00057012"/>
    <w:rsid w:val="000A3D0A"/>
    <w:rsid w:val="000E255D"/>
    <w:rsid w:val="000F21DD"/>
    <w:rsid w:val="000F7213"/>
    <w:rsid w:val="00100A60"/>
    <w:rsid w:val="00176F66"/>
    <w:rsid w:val="001B6826"/>
    <w:rsid w:val="001C5DF7"/>
    <w:rsid w:val="002A512D"/>
    <w:rsid w:val="002D69B7"/>
    <w:rsid w:val="002F3070"/>
    <w:rsid w:val="002F5613"/>
    <w:rsid w:val="00324241"/>
    <w:rsid w:val="00343489"/>
    <w:rsid w:val="0038288E"/>
    <w:rsid w:val="0039572D"/>
    <w:rsid w:val="003A1753"/>
    <w:rsid w:val="003A7FF7"/>
    <w:rsid w:val="003D0E51"/>
    <w:rsid w:val="00402086"/>
    <w:rsid w:val="00412B2B"/>
    <w:rsid w:val="00440F7F"/>
    <w:rsid w:val="00461E7C"/>
    <w:rsid w:val="004815E5"/>
    <w:rsid w:val="004D3928"/>
    <w:rsid w:val="00501BC0"/>
    <w:rsid w:val="005048B1"/>
    <w:rsid w:val="00506AA1"/>
    <w:rsid w:val="00517186"/>
    <w:rsid w:val="005204D9"/>
    <w:rsid w:val="00584DDA"/>
    <w:rsid w:val="0058698F"/>
    <w:rsid w:val="005A34FA"/>
    <w:rsid w:val="005D295C"/>
    <w:rsid w:val="005D6536"/>
    <w:rsid w:val="005E5D2D"/>
    <w:rsid w:val="00637CB3"/>
    <w:rsid w:val="006501D1"/>
    <w:rsid w:val="00655E6B"/>
    <w:rsid w:val="00674EC0"/>
    <w:rsid w:val="006769CD"/>
    <w:rsid w:val="006969D5"/>
    <w:rsid w:val="006F20D2"/>
    <w:rsid w:val="006F4234"/>
    <w:rsid w:val="007871D1"/>
    <w:rsid w:val="007A734B"/>
    <w:rsid w:val="0080297B"/>
    <w:rsid w:val="009016AE"/>
    <w:rsid w:val="00934D2F"/>
    <w:rsid w:val="00966932"/>
    <w:rsid w:val="00992B09"/>
    <w:rsid w:val="009D7164"/>
    <w:rsid w:val="009F3E65"/>
    <w:rsid w:val="00A009DF"/>
    <w:rsid w:val="00A07DCD"/>
    <w:rsid w:val="00A20B43"/>
    <w:rsid w:val="00A50DF4"/>
    <w:rsid w:val="00A819C9"/>
    <w:rsid w:val="00A844A5"/>
    <w:rsid w:val="00A8626F"/>
    <w:rsid w:val="00AC1557"/>
    <w:rsid w:val="00B11AE2"/>
    <w:rsid w:val="00B12D5B"/>
    <w:rsid w:val="00B227FD"/>
    <w:rsid w:val="00B812DC"/>
    <w:rsid w:val="00BE365C"/>
    <w:rsid w:val="00BF79DA"/>
    <w:rsid w:val="00BF7C40"/>
    <w:rsid w:val="00C76E37"/>
    <w:rsid w:val="00CB45C4"/>
    <w:rsid w:val="00CF20A3"/>
    <w:rsid w:val="00D232A6"/>
    <w:rsid w:val="00D34C88"/>
    <w:rsid w:val="00D5568F"/>
    <w:rsid w:val="00D72ED7"/>
    <w:rsid w:val="00DB3C52"/>
    <w:rsid w:val="00E074B7"/>
    <w:rsid w:val="00E75A59"/>
    <w:rsid w:val="00E801C3"/>
    <w:rsid w:val="00E81867"/>
    <w:rsid w:val="00E83EBF"/>
    <w:rsid w:val="00EC5D58"/>
    <w:rsid w:val="00EE5510"/>
    <w:rsid w:val="00F12D78"/>
    <w:rsid w:val="00F30A68"/>
    <w:rsid w:val="00F35F52"/>
    <w:rsid w:val="00F65DB6"/>
    <w:rsid w:val="00F74FC6"/>
    <w:rsid w:val="00F810F5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E1A7D-E3F1-41AD-8D04-3BE3752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a"/>
    <w:link w:val="CodeChar"/>
    <w:qFormat/>
    <w:rsid w:val="0038288E"/>
    <w:pPr>
      <w:spacing w:after="120" w:line="240" w:lineRule="auto"/>
      <w:jc w:val="both"/>
    </w:pPr>
    <w:rPr>
      <w:rFonts w:ascii="Courier New" w:eastAsia="Times New Roman" w:hAnsi="Courier New" w:cs="Courier New"/>
      <w:noProof/>
      <w:sz w:val="20"/>
      <w:szCs w:val="24"/>
      <w:lang w:val="en-GB"/>
    </w:rPr>
  </w:style>
  <w:style w:type="character" w:customStyle="1" w:styleId="CodeChar">
    <w:name w:val="Code Char"/>
    <w:basedOn w:val="a0"/>
    <w:link w:val="Code"/>
    <w:rsid w:val="0038288E"/>
    <w:rPr>
      <w:rFonts w:ascii="Courier New" w:eastAsia="Times New Roman" w:hAnsi="Courier New" w:cs="Courier New"/>
      <w:noProof/>
      <w:sz w:val="20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D78"/>
    <w:pPr>
      <w:ind w:left="720"/>
      <w:contextualSpacing/>
    </w:pPr>
  </w:style>
  <w:style w:type="table" w:customStyle="1" w:styleId="4-11">
    <w:name w:val="Πίνακας 4 με πλέγμα - Έμφαση 11"/>
    <w:basedOn w:val="a1"/>
    <w:uiPriority w:val="49"/>
    <w:rsid w:val="00F12D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Strong"/>
    <w:basedOn w:val="a0"/>
    <w:uiPriority w:val="22"/>
    <w:qFormat/>
    <w:rsid w:val="009D7164"/>
    <w:rPr>
      <w:b/>
      <w:bCs/>
    </w:rPr>
  </w:style>
  <w:style w:type="character" w:styleId="-">
    <w:name w:val="Hyperlink"/>
    <w:basedOn w:val="a0"/>
    <w:uiPriority w:val="99"/>
    <w:unhideWhenUsed/>
    <w:rsid w:val="00A819C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19C9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69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6969D5"/>
  </w:style>
  <w:style w:type="paragraph" w:styleId="a8">
    <w:name w:val="footer"/>
    <w:basedOn w:val="a"/>
    <w:link w:val="Char1"/>
    <w:uiPriority w:val="99"/>
    <w:unhideWhenUsed/>
    <w:rsid w:val="0069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69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ade.gr/sites/default/files/2017-05/CommonTechnicalProcedur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de.gr/sites/default/files/2017-05/ValidationofBusinessRulesandTechnicalRules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Μπαλατος</dc:creator>
  <cp:lastModifiedBy>Κωνσταντινος Μπαλατος</cp:lastModifiedBy>
  <cp:revision>20</cp:revision>
  <cp:lastPrinted>2017-09-18T07:30:00Z</cp:lastPrinted>
  <dcterms:created xsi:type="dcterms:W3CDTF">2017-09-17T09:22:00Z</dcterms:created>
  <dcterms:modified xsi:type="dcterms:W3CDTF">2018-03-08T08:19:00Z</dcterms:modified>
</cp:coreProperties>
</file>